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19782" w14:textId="2DE52880" w:rsidR="00204AC0" w:rsidRPr="0061318D" w:rsidRDefault="00BB5821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BB5821">
        <w:rPr>
          <w:rFonts w:ascii="Arial" w:eastAsia="Calibri" w:hAnsi="Arial" w:cs="Arial"/>
          <w:sz w:val="20"/>
          <w:szCs w:val="20"/>
          <w:lang w:val="hr-HR" w:eastAsia="hr-HR"/>
        </w:rPr>
        <w:t>U skladu s člankom 84. Zakona o proračunu (Narodne novine br. 144/2021), ravnateljica Dječjeg vrtića Radost, Braće Radić 10, Jastrebarsko, uz Polu</w:t>
      </w:r>
      <w:r>
        <w:rPr>
          <w:rFonts w:ascii="Arial" w:eastAsia="Calibri" w:hAnsi="Arial" w:cs="Arial"/>
          <w:sz w:val="20"/>
          <w:szCs w:val="20"/>
          <w:lang w:val="hr-HR" w:eastAsia="hr-HR"/>
        </w:rPr>
        <w:t>g</w:t>
      </w:r>
      <w:r w:rsidRPr="00BB5821">
        <w:rPr>
          <w:rFonts w:ascii="Arial" w:eastAsia="Calibri" w:hAnsi="Arial" w:cs="Arial"/>
          <w:sz w:val="20"/>
          <w:szCs w:val="20"/>
          <w:lang w:val="hr-HR" w:eastAsia="hr-HR"/>
        </w:rPr>
        <w:t>odišnj</w:t>
      </w:r>
      <w:r w:rsidR="00373707">
        <w:rPr>
          <w:rFonts w:ascii="Arial" w:eastAsia="Calibri" w:hAnsi="Arial" w:cs="Arial"/>
          <w:sz w:val="20"/>
          <w:szCs w:val="20"/>
          <w:lang w:val="hr-HR" w:eastAsia="hr-HR"/>
        </w:rPr>
        <w:t>i</w:t>
      </w:r>
      <w:r w:rsidRPr="00BB5821">
        <w:rPr>
          <w:rFonts w:ascii="Arial" w:eastAsia="Calibri" w:hAnsi="Arial" w:cs="Arial"/>
          <w:sz w:val="20"/>
          <w:szCs w:val="20"/>
          <w:lang w:val="hr-HR" w:eastAsia="hr-HR"/>
        </w:rPr>
        <w:t xml:space="preserve"> izvještaj o izvršenju financijskog plana Dječjeg vrtića Radost za 202</w:t>
      </w:r>
      <w:r w:rsidR="00F96ED0">
        <w:rPr>
          <w:rFonts w:ascii="Arial" w:eastAsia="Calibri" w:hAnsi="Arial" w:cs="Arial"/>
          <w:sz w:val="20"/>
          <w:szCs w:val="20"/>
          <w:lang w:val="hr-HR" w:eastAsia="hr-HR"/>
        </w:rPr>
        <w:t>3</w:t>
      </w:r>
      <w:r w:rsidRPr="00BB5821">
        <w:rPr>
          <w:rFonts w:ascii="Arial" w:eastAsia="Calibri" w:hAnsi="Arial" w:cs="Arial"/>
          <w:sz w:val="20"/>
          <w:szCs w:val="20"/>
          <w:lang w:val="hr-HR" w:eastAsia="hr-HR"/>
        </w:rPr>
        <w:t>. donosi:</w:t>
      </w:r>
    </w:p>
    <w:p w14:paraId="4C4E0A73" w14:textId="77777777" w:rsidR="00204AC0" w:rsidRDefault="00204AC0" w:rsidP="00204AC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 w:eastAsia="hr-HR"/>
        </w:rPr>
      </w:pPr>
    </w:p>
    <w:p w14:paraId="68F3CEC4" w14:textId="77777777" w:rsidR="0061318D" w:rsidRPr="0061318D" w:rsidRDefault="0061318D" w:rsidP="00204AC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 w:eastAsia="hr-HR"/>
        </w:rPr>
      </w:pPr>
    </w:p>
    <w:p w14:paraId="6C50321B" w14:textId="77777777" w:rsidR="00204AC0" w:rsidRPr="0061318D" w:rsidRDefault="00204AC0" w:rsidP="00204AC0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hr-HR" w:eastAsia="hr-HR"/>
        </w:rPr>
      </w:pPr>
      <w:r w:rsidRPr="0061318D">
        <w:rPr>
          <w:rFonts w:ascii="Arial" w:eastAsia="Calibri" w:hAnsi="Arial" w:cs="Arial"/>
          <w:b/>
          <w:sz w:val="28"/>
          <w:szCs w:val="28"/>
          <w:lang w:val="hr-HR" w:eastAsia="hr-HR"/>
        </w:rPr>
        <w:t xml:space="preserve">OBRAZLOŽENJE </w:t>
      </w:r>
      <w:r w:rsidR="009E734B">
        <w:rPr>
          <w:rFonts w:ascii="Arial" w:eastAsia="Calibri" w:hAnsi="Arial" w:cs="Arial"/>
          <w:b/>
          <w:sz w:val="28"/>
          <w:szCs w:val="28"/>
          <w:lang w:val="hr-HR" w:eastAsia="hr-HR"/>
        </w:rPr>
        <w:t>POLU</w:t>
      </w:r>
      <w:r w:rsidRPr="0061318D">
        <w:rPr>
          <w:rFonts w:ascii="Arial" w:eastAsia="Calibri" w:hAnsi="Arial" w:cs="Arial"/>
          <w:b/>
          <w:sz w:val="28"/>
          <w:szCs w:val="28"/>
          <w:lang w:val="hr-HR" w:eastAsia="hr-HR"/>
        </w:rPr>
        <w:t>GODIŠNJEG IZVJEŠTAJA O IZVRŠENJU</w:t>
      </w:r>
    </w:p>
    <w:p w14:paraId="5B9F2E24" w14:textId="0CE293CC" w:rsidR="00204AC0" w:rsidRPr="0061318D" w:rsidRDefault="00204AC0" w:rsidP="00204AC0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  <w:lang w:val="hr-HR" w:eastAsia="hr-HR"/>
        </w:rPr>
      </w:pPr>
      <w:r w:rsidRPr="0061318D">
        <w:rPr>
          <w:rFonts w:ascii="Arial" w:eastAsia="Calibri" w:hAnsi="Arial" w:cs="Arial"/>
          <w:b/>
          <w:sz w:val="28"/>
          <w:szCs w:val="28"/>
          <w:lang w:val="hr-HR" w:eastAsia="hr-HR"/>
        </w:rPr>
        <w:t>FINANCIJSKOG PLANA DJEČJEG VRTIĆA RADOST</w:t>
      </w:r>
      <w:r w:rsidR="00452D2D">
        <w:rPr>
          <w:rFonts w:ascii="Arial" w:eastAsia="Calibri" w:hAnsi="Arial" w:cs="Arial"/>
          <w:b/>
          <w:sz w:val="28"/>
          <w:szCs w:val="28"/>
          <w:lang w:val="hr-HR" w:eastAsia="hr-HR"/>
        </w:rPr>
        <w:t xml:space="preserve"> ZA 2023.</w:t>
      </w:r>
    </w:p>
    <w:p w14:paraId="04BA107F" w14:textId="77777777" w:rsidR="00204AC0" w:rsidRDefault="00204AC0" w:rsidP="00204AC0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/>
          <w:sz w:val="24"/>
          <w:szCs w:val="24"/>
          <w:lang w:val="hr-HR" w:eastAsia="hr-HR"/>
        </w:rPr>
      </w:pPr>
    </w:p>
    <w:p w14:paraId="71177D73" w14:textId="77777777" w:rsidR="0061318D" w:rsidRDefault="0061318D" w:rsidP="00204AC0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/>
          <w:sz w:val="24"/>
          <w:szCs w:val="24"/>
          <w:lang w:val="hr-HR" w:eastAsia="hr-HR"/>
        </w:rPr>
      </w:pPr>
    </w:p>
    <w:p w14:paraId="2D349027" w14:textId="77777777" w:rsidR="0061318D" w:rsidRPr="0061318D" w:rsidRDefault="0061318D" w:rsidP="00204AC0">
      <w:pPr>
        <w:keepNext/>
        <w:spacing w:after="0" w:line="240" w:lineRule="auto"/>
        <w:jc w:val="both"/>
        <w:outlineLvl w:val="1"/>
        <w:rPr>
          <w:rFonts w:ascii="Arial" w:eastAsia="Calibri" w:hAnsi="Arial" w:cs="Arial"/>
          <w:b/>
          <w:sz w:val="24"/>
          <w:szCs w:val="24"/>
          <w:lang w:val="hr-HR" w:eastAsia="hr-HR"/>
        </w:rPr>
      </w:pPr>
    </w:p>
    <w:p w14:paraId="548AE6E2" w14:textId="77777777" w:rsidR="00204AC0" w:rsidRPr="0061318D" w:rsidRDefault="00204AC0" w:rsidP="00204AC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hr-HR" w:eastAsia="hr-HR"/>
        </w:rPr>
      </w:pPr>
      <w:r w:rsidRPr="0061318D">
        <w:rPr>
          <w:rFonts w:ascii="Arial" w:eastAsia="Calibri" w:hAnsi="Arial" w:cs="Arial"/>
          <w:b/>
          <w:sz w:val="24"/>
          <w:szCs w:val="24"/>
          <w:lang w:val="hr-HR" w:eastAsia="hr-HR"/>
        </w:rPr>
        <w:t>OPĆI DIO</w:t>
      </w:r>
    </w:p>
    <w:p w14:paraId="6FC84736" w14:textId="77777777" w:rsidR="00204AC0" w:rsidRPr="0061318D" w:rsidRDefault="00204AC0" w:rsidP="00204AC0">
      <w:pPr>
        <w:pStyle w:val="Odlomakpopisa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hr-HR" w:eastAsia="hr-HR"/>
        </w:rPr>
      </w:pPr>
    </w:p>
    <w:p w14:paraId="7A84D372" w14:textId="77777777" w:rsidR="0016170B" w:rsidRDefault="00797B06" w:rsidP="0016170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797B06">
        <w:rPr>
          <w:rFonts w:ascii="Arial" w:eastAsia="Calibri" w:hAnsi="Arial" w:cs="Arial"/>
          <w:sz w:val="20"/>
          <w:szCs w:val="20"/>
          <w:lang w:val="hr-HR" w:eastAsia="hr-HR"/>
        </w:rPr>
        <w:t>U odnosu na Financijski plan Dječjeg vrtića Radost za 202</w:t>
      </w:r>
      <w:r w:rsidR="00452D2D">
        <w:rPr>
          <w:rFonts w:ascii="Arial" w:eastAsia="Calibri" w:hAnsi="Arial" w:cs="Arial"/>
          <w:sz w:val="20"/>
          <w:szCs w:val="20"/>
          <w:lang w:val="hr-HR" w:eastAsia="hr-HR"/>
        </w:rPr>
        <w:t>3</w:t>
      </w:r>
      <w:r w:rsidRPr="00797B06">
        <w:rPr>
          <w:rFonts w:ascii="Arial" w:eastAsia="Calibri" w:hAnsi="Arial" w:cs="Arial"/>
          <w:sz w:val="20"/>
          <w:szCs w:val="20"/>
          <w:lang w:val="hr-HR" w:eastAsia="hr-HR"/>
        </w:rPr>
        <w:t>. godinu ostvareno je 4</w:t>
      </w:r>
      <w:r w:rsidR="00E44259">
        <w:rPr>
          <w:rFonts w:ascii="Arial" w:eastAsia="Calibri" w:hAnsi="Arial" w:cs="Arial"/>
          <w:sz w:val="20"/>
          <w:szCs w:val="20"/>
          <w:lang w:val="hr-HR" w:eastAsia="hr-HR"/>
        </w:rPr>
        <w:t>9</w:t>
      </w:r>
      <w:r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 % ukupno planiranih prihoda te 48</w:t>
      </w:r>
      <w:r w:rsidR="00E44259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Pr="00797B06">
        <w:rPr>
          <w:rFonts w:ascii="Arial" w:eastAsia="Calibri" w:hAnsi="Arial" w:cs="Arial"/>
          <w:sz w:val="20"/>
          <w:szCs w:val="20"/>
          <w:lang w:val="hr-HR" w:eastAsia="hr-HR"/>
        </w:rPr>
        <w:t>% ukupno planiranih rashoda</w:t>
      </w:r>
      <w:r w:rsidR="0016170B">
        <w:rPr>
          <w:rFonts w:ascii="Arial" w:eastAsia="Calibri" w:hAnsi="Arial" w:cs="Arial"/>
          <w:sz w:val="20"/>
          <w:szCs w:val="20"/>
          <w:lang w:val="hr-HR" w:eastAsia="hr-HR"/>
        </w:rPr>
        <w:t xml:space="preserve">.  </w:t>
      </w:r>
    </w:p>
    <w:p w14:paraId="18556CC6" w14:textId="77777777" w:rsidR="0016170B" w:rsidRDefault="0016170B" w:rsidP="0016170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35CAE657" w14:textId="4729F25D" w:rsidR="0016170B" w:rsidRDefault="0016170B" w:rsidP="0016170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>Usporedbom izvršenja prethodne i tekuće godine utvrđen je ukupni porast rashoda za 9% te prihoda za 11%.</w:t>
      </w:r>
    </w:p>
    <w:p w14:paraId="379DA4E0" w14:textId="43F35D97" w:rsidR="0016170B" w:rsidRDefault="0016170B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40E5BD3E" w14:textId="5B894C66" w:rsidR="0016170B" w:rsidRDefault="0016170B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>V</w:t>
      </w:r>
      <w:r w:rsidR="002C135B">
        <w:rPr>
          <w:rFonts w:ascii="Arial" w:eastAsia="Calibri" w:hAnsi="Arial" w:cs="Arial"/>
          <w:sz w:val="20"/>
          <w:szCs w:val="20"/>
          <w:lang w:val="hr-HR" w:eastAsia="hr-HR"/>
        </w:rPr>
        <w:t>išak prihoda u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prvom polugodištu tekuće proračunske godine</w:t>
      </w:r>
      <w:r w:rsidR="002C135B">
        <w:rPr>
          <w:rFonts w:ascii="Arial" w:eastAsia="Calibri" w:hAnsi="Arial" w:cs="Arial"/>
          <w:sz w:val="20"/>
          <w:szCs w:val="20"/>
          <w:lang w:val="hr-HR" w:eastAsia="hr-HR"/>
        </w:rPr>
        <w:t xml:space="preserve"> iznos</w:t>
      </w:r>
      <w:r>
        <w:rPr>
          <w:rFonts w:ascii="Arial" w:eastAsia="Calibri" w:hAnsi="Arial" w:cs="Arial"/>
          <w:sz w:val="20"/>
          <w:szCs w:val="20"/>
          <w:lang w:val="hr-HR" w:eastAsia="hr-HR"/>
        </w:rPr>
        <w:t>i</w:t>
      </w:r>
      <w:r w:rsidR="002C135B">
        <w:rPr>
          <w:rFonts w:ascii="Arial" w:eastAsia="Calibri" w:hAnsi="Arial" w:cs="Arial"/>
          <w:sz w:val="20"/>
          <w:szCs w:val="20"/>
          <w:lang w:val="hr-HR" w:eastAsia="hr-HR"/>
        </w:rPr>
        <w:t xml:space="preserve"> od 17.074,55 EUR.</w:t>
      </w:r>
      <w:r w:rsidR="001C368F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</w:p>
    <w:p w14:paraId="24DB3988" w14:textId="77777777" w:rsidR="00EC7761" w:rsidRDefault="00EC7761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7160DE05" w14:textId="3D44DDFD" w:rsidR="001D0D71" w:rsidRDefault="00797B06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797B06">
        <w:rPr>
          <w:rFonts w:ascii="Arial" w:eastAsia="Calibri" w:hAnsi="Arial" w:cs="Arial"/>
          <w:sz w:val="20"/>
          <w:szCs w:val="20"/>
          <w:lang w:val="hr-HR" w:eastAsia="hr-HR"/>
        </w:rPr>
        <w:t>Krajem 202</w:t>
      </w:r>
      <w:r w:rsidR="00E44259">
        <w:rPr>
          <w:rFonts w:ascii="Arial" w:eastAsia="Calibri" w:hAnsi="Arial" w:cs="Arial"/>
          <w:sz w:val="20"/>
          <w:szCs w:val="20"/>
          <w:lang w:val="hr-HR" w:eastAsia="hr-HR"/>
        </w:rPr>
        <w:t>2</w:t>
      </w:r>
      <w:r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. godine ostvaren je višak prihoda i primitaka nad rashodima u iznosu od </w:t>
      </w:r>
      <w:r w:rsidR="00E44259">
        <w:rPr>
          <w:rFonts w:ascii="Arial" w:eastAsia="Calibri" w:hAnsi="Arial" w:cs="Arial"/>
          <w:sz w:val="20"/>
          <w:szCs w:val="20"/>
          <w:lang w:val="hr-HR" w:eastAsia="hr-HR"/>
        </w:rPr>
        <w:t>25.635,45 EUR</w:t>
      </w:r>
      <w:r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.  U tekuću proračunsku godinu </w:t>
      </w:r>
      <w:r w:rsidR="00EC7761" w:rsidRPr="00797B06">
        <w:rPr>
          <w:rFonts w:ascii="Arial" w:eastAsia="Calibri" w:hAnsi="Arial" w:cs="Arial"/>
          <w:sz w:val="20"/>
          <w:szCs w:val="20"/>
          <w:lang w:val="hr-HR" w:eastAsia="hr-HR"/>
        </w:rPr>
        <w:t>prenesen</w:t>
      </w:r>
      <w:r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 je </w:t>
      </w:r>
      <w:r w:rsidR="00EC7761">
        <w:rPr>
          <w:rFonts w:ascii="Arial" w:eastAsia="Calibri" w:hAnsi="Arial" w:cs="Arial"/>
          <w:sz w:val="20"/>
          <w:szCs w:val="20"/>
          <w:lang w:val="hr-HR" w:eastAsia="hr-HR"/>
        </w:rPr>
        <w:t xml:space="preserve">navedeni </w:t>
      </w:r>
      <w:r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višak prihoda </w:t>
      </w:r>
      <w:r w:rsidR="00EC7761">
        <w:rPr>
          <w:rFonts w:ascii="Arial" w:eastAsia="Calibri" w:hAnsi="Arial" w:cs="Arial"/>
          <w:sz w:val="20"/>
          <w:szCs w:val="20"/>
          <w:lang w:val="hr-HR" w:eastAsia="hr-HR"/>
        </w:rPr>
        <w:t xml:space="preserve">koji je </w:t>
      </w:r>
      <w:r w:rsidRPr="00797B06">
        <w:rPr>
          <w:rFonts w:ascii="Arial" w:eastAsia="Calibri" w:hAnsi="Arial" w:cs="Arial"/>
          <w:sz w:val="20"/>
          <w:szCs w:val="20"/>
          <w:lang w:val="hr-HR" w:eastAsia="hr-HR"/>
        </w:rPr>
        <w:t>temeljem Odluke o raspodjeli rezultata</w:t>
      </w:r>
      <w:r w:rsidR="00EC7761">
        <w:rPr>
          <w:rFonts w:ascii="Arial" w:eastAsia="Calibri" w:hAnsi="Arial" w:cs="Arial"/>
          <w:sz w:val="20"/>
          <w:szCs w:val="20"/>
          <w:lang w:val="hr-HR" w:eastAsia="hr-HR"/>
        </w:rPr>
        <w:t>, usvojene od strane Upravnog vijeća dana 19. lipnja 2023. godine,</w:t>
      </w:r>
      <w:r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 raspore</w:t>
      </w:r>
      <w:r w:rsidR="00EC7761">
        <w:rPr>
          <w:rFonts w:ascii="Arial" w:eastAsia="Calibri" w:hAnsi="Arial" w:cs="Arial"/>
          <w:sz w:val="20"/>
          <w:szCs w:val="20"/>
          <w:lang w:val="hr-HR" w:eastAsia="hr-HR"/>
        </w:rPr>
        <w:t>đen u</w:t>
      </w:r>
      <w:r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 1. Izmjenama i dopunama Financijskog plana Dječjeg vrtića Radost za 202</w:t>
      </w:r>
      <w:r w:rsidR="00EC7761">
        <w:rPr>
          <w:rFonts w:ascii="Arial" w:eastAsia="Calibri" w:hAnsi="Arial" w:cs="Arial"/>
          <w:sz w:val="20"/>
          <w:szCs w:val="20"/>
          <w:lang w:val="hr-HR" w:eastAsia="hr-HR"/>
        </w:rPr>
        <w:t>3</w:t>
      </w:r>
      <w:r w:rsidRPr="00797B06">
        <w:rPr>
          <w:rFonts w:ascii="Arial" w:eastAsia="Calibri" w:hAnsi="Arial" w:cs="Arial"/>
          <w:sz w:val="20"/>
          <w:szCs w:val="20"/>
          <w:lang w:val="hr-HR" w:eastAsia="hr-HR"/>
        </w:rPr>
        <w:t xml:space="preserve">. za financiranje </w:t>
      </w:r>
      <w:r w:rsidR="00EC7761">
        <w:rPr>
          <w:rFonts w:ascii="Arial" w:eastAsia="Calibri" w:hAnsi="Arial" w:cs="Arial"/>
          <w:sz w:val="20"/>
          <w:szCs w:val="20"/>
          <w:lang w:val="hr-HR" w:eastAsia="hr-HR"/>
        </w:rPr>
        <w:t>nedostatno planiranih rashoda koji se nisu mogli predvidjeti.</w:t>
      </w:r>
      <w:r w:rsidR="00E86811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2C135B">
        <w:rPr>
          <w:rFonts w:ascii="Arial" w:eastAsia="Calibri" w:hAnsi="Arial" w:cs="Arial"/>
          <w:sz w:val="20"/>
          <w:szCs w:val="20"/>
          <w:lang w:val="hr-HR" w:eastAsia="hr-HR"/>
        </w:rPr>
        <w:t>U prvom polugodištu tekuće godine iz prenesenog viška koji potječe od prihoda za posebne namjene izvršeno je 7.734,53 EUR planiranih rashoda, odnosno 30% planiranog iznosa.</w:t>
      </w:r>
    </w:p>
    <w:p w14:paraId="67000B68" w14:textId="07C2718C" w:rsidR="00F32497" w:rsidRDefault="00F32497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498AB664" w14:textId="0963123E" w:rsidR="00F32497" w:rsidRDefault="002F1C1B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Izvor općih prihoda i primitaka </w:t>
      </w:r>
      <w:r w:rsidR="00305471">
        <w:rPr>
          <w:rFonts w:ascii="Arial" w:eastAsia="Calibri" w:hAnsi="Arial" w:cs="Arial"/>
          <w:sz w:val="20"/>
          <w:szCs w:val="20"/>
          <w:lang w:val="hr-HR" w:eastAsia="hr-HR"/>
        </w:rPr>
        <w:t>koji se odnosi na p</w:t>
      </w:r>
      <w:r w:rsidR="00F32497" w:rsidRPr="00F32497">
        <w:rPr>
          <w:rFonts w:ascii="Arial" w:eastAsia="Calibri" w:hAnsi="Arial" w:cs="Arial"/>
          <w:sz w:val="20"/>
          <w:szCs w:val="20"/>
          <w:lang w:val="hr-HR" w:eastAsia="hr-HR"/>
        </w:rPr>
        <w:t>rihod</w:t>
      </w:r>
      <w:r w:rsidR="00305471">
        <w:rPr>
          <w:rFonts w:ascii="Arial" w:eastAsia="Calibri" w:hAnsi="Arial" w:cs="Arial"/>
          <w:sz w:val="20"/>
          <w:szCs w:val="20"/>
          <w:lang w:val="hr-HR" w:eastAsia="hr-HR"/>
        </w:rPr>
        <w:t>e</w:t>
      </w:r>
      <w:r w:rsidR="00F32497" w:rsidRPr="00F32497">
        <w:rPr>
          <w:rFonts w:ascii="Arial" w:eastAsia="Calibri" w:hAnsi="Arial" w:cs="Arial"/>
          <w:sz w:val="20"/>
          <w:szCs w:val="20"/>
          <w:lang w:val="hr-HR" w:eastAsia="hr-HR"/>
        </w:rPr>
        <w:t xml:space="preserve"> iz nadležnog proračuna (Grada Jastrebarskog) ostvaren</w:t>
      </w:r>
      <w:r w:rsidR="00AA4864">
        <w:rPr>
          <w:rFonts w:ascii="Arial" w:eastAsia="Calibri" w:hAnsi="Arial" w:cs="Arial"/>
          <w:sz w:val="20"/>
          <w:szCs w:val="20"/>
          <w:lang w:val="hr-HR" w:eastAsia="hr-HR"/>
        </w:rPr>
        <w:t xml:space="preserve"> je</w:t>
      </w:r>
      <w:r w:rsidR="00F32497" w:rsidRPr="00F32497">
        <w:rPr>
          <w:rFonts w:ascii="Arial" w:eastAsia="Calibri" w:hAnsi="Arial" w:cs="Arial"/>
          <w:sz w:val="20"/>
          <w:szCs w:val="20"/>
          <w:lang w:val="hr-HR" w:eastAsia="hr-HR"/>
        </w:rPr>
        <w:t xml:space="preserve"> u </w:t>
      </w:r>
      <w:r w:rsidR="00F32497">
        <w:rPr>
          <w:rFonts w:ascii="Arial" w:eastAsia="Calibri" w:hAnsi="Arial" w:cs="Arial"/>
          <w:sz w:val="20"/>
          <w:szCs w:val="20"/>
          <w:lang w:val="hr-HR" w:eastAsia="hr-HR"/>
        </w:rPr>
        <w:t>odnosu na plan 47</w:t>
      </w:r>
      <w:r w:rsidR="00F32497" w:rsidRPr="00F32497">
        <w:rPr>
          <w:rFonts w:ascii="Arial" w:eastAsia="Calibri" w:hAnsi="Arial" w:cs="Arial"/>
          <w:sz w:val="20"/>
          <w:szCs w:val="20"/>
          <w:lang w:val="hr-HR" w:eastAsia="hr-HR"/>
        </w:rPr>
        <w:t>%.</w:t>
      </w:r>
    </w:p>
    <w:p w14:paraId="1C6C9A74" w14:textId="0D6E207F" w:rsidR="005D1343" w:rsidRDefault="005D1343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54E15F22" w14:textId="72F5374E" w:rsidR="005D1343" w:rsidRDefault="005D1343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5D1343">
        <w:rPr>
          <w:rFonts w:ascii="Arial" w:eastAsia="Calibri" w:hAnsi="Arial" w:cs="Arial"/>
          <w:sz w:val="20"/>
          <w:szCs w:val="20"/>
          <w:lang w:val="hr-HR" w:eastAsia="hr-HR"/>
        </w:rPr>
        <w:t xml:space="preserve">Vlastiti prihodi ostvareni su </w:t>
      </w:r>
      <w:r w:rsidR="002F1C1B">
        <w:rPr>
          <w:rFonts w:ascii="Arial" w:eastAsia="Calibri" w:hAnsi="Arial" w:cs="Arial"/>
          <w:sz w:val="20"/>
          <w:szCs w:val="20"/>
          <w:lang w:val="hr-HR" w:eastAsia="hr-HR"/>
        </w:rPr>
        <w:t xml:space="preserve">94% u odnosu na </w:t>
      </w:r>
      <w:r w:rsidR="00AA4864">
        <w:rPr>
          <w:rFonts w:ascii="Arial" w:eastAsia="Calibri" w:hAnsi="Arial" w:cs="Arial"/>
          <w:sz w:val="20"/>
          <w:szCs w:val="20"/>
          <w:lang w:val="hr-HR" w:eastAsia="hr-HR"/>
        </w:rPr>
        <w:t>P</w:t>
      </w:r>
      <w:r w:rsidR="002F1C1B">
        <w:rPr>
          <w:rFonts w:ascii="Arial" w:eastAsia="Calibri" w:hAnsi="Arial" w:cs="Arial"/>
          <w:sz w:val="20"/>
          <w:szCs w:val="20"/>
          <w:lang w:val="hr-HR" w:eastAsia="hr-HR"/>
        </w:rPr>
        <w:t>lan</w:t>
      </w:r>
      <w:r w:rsidR="00AA4864">
        <w:rPr>
          <w:rFonts w:ascii="Arial" w:eastAsia="Calibri" w:hAnsi="Arial" w:cs="Arial"/>
          <w:sz w:val="20"/>
          <w:szCs w:val="20"/>
          <w:lang w:val="hr-HR" w:eastAsia="hr-HR"/>
        </w:rPr>
        <w:t xml:space="preserve"> za 2023.</w:t>
      </w:r>
      <w:r w:rsidRPr="005D1343">
        <w:rPr>
          <w:rFonts w:ascii="Arial" w:eastAsia="Calibri" w:hAnsi="Arial" w:cs="Arial"/>
          <w:sz w:val="20"/>
          <w:szCs w:val="20"/>
          <w:lang w:val="hr-HR" w:eastAsia="hr-HR"/>
        </w:rPr>
        <w:t xml:space="preserve"> i odnose se na najam prostora udruge "Naučimo puno" za kraći program učenja engleskog jezika izvan redovnog programa</w:t>
      </w:r>
      <w:r w:rsidR="002F1C1B">
        <w:rPr>
          <w:rFonts w:ascii="Arial" w:eastAsia="Calibri" w:hAnsi="Arial" w:cs="Arial"/>
          <w:sz w:val="20"/>
          <w:szCs w:val="20"/>
          <w:lang w:val="hr-HR" w:eastAsia="hr-HR"/>
        </w:rPr>
        <w:t>.</w:t>
      </w:r>
    </w:p>
    <w:p w14:paraId="2C326C50" w14:textId="77777777" w:rsidR="00797B06" w:rsidRPr="0061318D" w:rsidRDefault="00797B06" w:rsidP="00204AC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257214B4" w14:textId="0B8910FB" w:rsidR="00937B9D" w:rsidRDefault="00305471" w:rsidP="002E4F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>Izvor pomoći ostvaren je s 53%, a odnosi se na p</w:t>
      </w:r>
      <w:r w:rsidR="00937B9D" w:rsidRPr="00937B9D">
        <w:rPr>
          <w:rFonts w:ascii="Arial" w:eastAsia="Calibri" w:hAnsi="Arial" w:cs="Arial"/>
          <w:sz w:val="20"/>
          <w:szCs w:val="20"/>
          <w:lang w:val="hr-HR" w:eastAsia="hr-HR"/>
        </w:rPr>
        <w:t>rihod</w:t>
      </w:r>
      <w:r>
        <w:rPr>
          <w:rFonts w:ascii="Arial" w:eastAsia="Calibri" w:hAnsi="Arial" w:cs="Arial"/>
          <w:sz w:val="20"/>
          <w:szCs w:val="20"/>
          <w:lang w:val="hr-HR" w:eastAsia="hr-HR"/>
        </w:rPr>
        <w:t>e</w:t>
      </w:r>
      <w:r w:rsidR="00937B9D" w:rsidRPr="00937B9D">
        <w:rPr>
          <w:rFonts w:ascii="Arial" w:eastAsia="Calibri" w:hAnsi="Arial" w:cs="Arial"/>
          <w:sz w:val="20"/>
          <w:szCs w:val="20"/>
          <w:lang w:val="hr-HR" w:eastAsia="hr-HR"/>
        </w:rPr>
        <w:t xml:space="preserve"> od Ministarstva znanosti i obrazovanja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koji su</w:t>
      </w:r>
      <w:r w:rsidR="00937B9D" w:rsidRPr="00937B9D">
        <w:rPr>
          <w:rFonts w:ascii="Arial" w:eastAsia="Calibri" w:hAnsi="Arial" w:cs="Arial"/>
          <w:sz w:val="20"/>
          <w:szCs w:val="20"/>
          <w:lang w:val="hr-HR" w:eastAsia="hr-HR"/>
        </w:rPr>
        <w:t xml:space="preserve"> ostvareni u 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nešto </w:t>
      </w:r>
      <w:r w:rsidR="00937B9D" w:rsidRPr="00937B9D">
        <w:rPr>
          <w:rFonts w:ascii="Arial" w:eastAsia="Calibri" w:hAnsi="Arial" w:cs="Arial"/>
          <w:sz w:val="20"/>
          <w:szCs w:val="20"/>
          <w:lang w:val="hr-HR" w:eastAsia="hr-HR"/>
        </w:rPr>
        <w:t>višem iznosu od planiranog</w:t>
      </w:r>
      <w:r w:rsidR="0081462C">
        <w:rPr>
          <w:rFonts w:ascii="Arial" w:eastAsia="Calibri" w:hAnsi="Arial" w:cs="Arial"/>
          <w:sz w:val="20"/>
          <w:szCs w:val="20"/>
          <w:lang w:val="hr-HR" w:eastAsia="hr-HR"/>
        </w:rPr>
        <w:t>,</w:t>
      </w:r>
      <w:r w:rsidR="00937B9D" w:rsidRPr="00937B9D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HR" w:eastAsia="hr-HR"/>
        </w:rPr>
        <w:t>budući su</w:t>
      </w:r>
      <w:r w:rsidR="00937B9D" w:rsidRPr="00937B9D">
        <w:rPr>
          <w:rFonts w:ascii="Arial" w:eastAsia="Calibri" w:hAnsi="Arial" w:cs="Arial"/>
          <w:sz w:val="20"/>
          <w:szCs w:val="20"/>
          <w:lang w:val="hr-HR" w:eastAsia="hr-HR"/>
        </w:rPr>
        <w:t xml:space="preserve"> dodijeljeni iznosi iz dostavljenih Odluka o sufinanciranju programa javnih potreba u području predškolskog odgoja i</w:t>
      </w:r>
      <w:r w:rsidR="00937B9D">
        <w:rPr>
          <w:rFonts w:ascii="Arial" w:eastAsia="Calibri" w:hAnsi="Arial" w:cs="Arial"/>
          <w:sz w:val="20"/>
          <w:szCs w:val="20"/>
          <w:lang w:val="hr-HR" w:eastAsia="hr-HR"/>
        </w:rPr>
        <w:t xml:space="preserve"> obrazovanja za </w:t>
      </w:r>
      <w:r w:rsidR="0081462C">
        <w:rPr>
          <w:rFonts w:ascii="Arial" w:eastAsia="Calibri" w:hAnsi="Arial" w:cs="Arial"/>
          <w:sz w:val="20"/>
          <w:szCs w:val="20"/>
          <w:lang w:val="hr-HR" w:eastAsia="hr-HR"/>
        </w:rPr>
        <w:t>prvi ciklus isplate u</w:t>
      </w:r>
      <w:r w:rsidR="00937B9D" w:rsidRPr="00937B9D">
        <w:rPr>
          <w:rFonts w:ascii="Arial" w:eastAsia="Calibri" w:hAnsi="Arial" w:cs="Arial"/>
          <w:sz w:val="20"/>
          <w:szCs w:val="20"/>
          <w:lang w:val="hr-HR" w:eastAsia="hr-HR"/>
        </w:rPr>
        <w:t xml:space="preserve"> 202</w:t>
      </w:r>
      <w:r w:rsidR="0081462C">
        <w:rPr>
          <w:rFonts w:ascii="Arial" w:eastAsia="Calibri" w:hAnsi="Arial" w:cs="Arial"/>
          <w:sz w:val="20"/>
          <w:szCs w:val="20"/>
          <w:lang w:val="hr-HR" w:eastAsia="hr-HR"/>
        </w:rPr>
        <w:t>3</w:t>
      </w:r>
      <w:r w:rsidR="00937B9D" w:rsidRPr="00937B9D">
        <w:rPr>
          <w:rFonts w:ascii="Arial" w:eastAsia="Calibri" w:hAnsi="Arial" w:cs="Arial"/>
          <w:sz w:val="20"/>
          <w:szCs w:val="20"/>
          <w:lang w:val="hr-HR" w:eastAsia="hr-HR"/>
        </w:rPr>
        <w:t>.</w:t>
      </w:r>
      <w:r w:rsidR="0081462C">
        <w:rPr>
          <w:rFonts w:ascii="Arial" w:eastAsia="Calibri" w:hAnsi="Arial" w:cs="Arial"/>
          <w:sz w:val="20"/>
          <w:szCs w:val="20"/>
          <w:lang w:val="hr-HR" w:eastAsia="hr-HR"/>
        </w:rPr>
        <w:t xml:space="preserve"> godini</w:t>
      </w:r>
      <w:r w:rsidR="00937B9D" w:rsidRPr="00937B9D">
        <w:rPr>
          <w:rFonts w:ascii="Arial" w:eastAsia="Calibri" w:hAnsi="Arial" w:cs="Arial"/>
          <w:sz w:val="20"/>
          <w:szCs w:val="20"/>
          <w:lang w:val="hr-HR" w:eastAsia="hr-HR"/>
        </w:rPr>
        <w:t xml:space="preserve"> viši od iznosa predviđenog </w:t>
      </w:r>
      <w:r w:rsidR="0081462C">
        <w:rPr>
          <w:rFonts w:ascii="Arial" w:eastAsia="Calibri" w:hAnsi="Arial" w:cs="Arial"/>
          <w:sz w:val="20"/>
          <w:szCs w:val="20"/>
          <w:lang w:val="hr-HR" w:eastAsia="hr-HR"/>
        </w:rPr>
        <w:t>f</w:t>
      </w:r>
      <w:r w:rsidR="00937B9D" w:rsidRPr="00937B9D">
        <w:rPr>
          <w:rFonts w:ascii="Arial" w:eastAsia="Calibri" w:hAnsi="Arial" w:cs="Arial"/>
          <w:sz w:val="20"/>
          <w:szCs w:val="20"/>
          <w:lang w:val="hr-HR" w:eastAsia="hr-HR"/>
        </w:rPr>
        <w:t>inancijskim planom za 202</w:t>
      </w:r>
      <w:r w:rsidR="0081462C">
        <w:rPr>
          <w:rFonts w:ascii="Arial" w:eastAsia="Calibri" w:hAnsi="Arial" w:cs="Arial"/>
          <w:sz w:val="20"/>
          <w:szCs w:val="20"/>
          <w:lang w:val="hr-HR" w:eastAsia="hr-HR"/>
        </w:rPr>
        <w:t>3</w:t>
      </w:r>
      <w:r w:rsidR="00937B9D" w:rsidRPr="00937B9D">
        <w:rPr>
          <w:rFonts w:ascii="Arial" w:eastAsia="Calibri" w:hAnsi="Arial" w:cs="Arial"/>
          <w:sz w:val="20"/>
          <w:szCs w:val="20"/>
          <w:lang w:val="hr-HR" w:eastAsia="hr-HR"/>
        </w:rPr>
        <w:t>. koji je rađen na temelju dod</w:t>
      </w:r>
      <w:r w:rsidR="00937B9D">
        <w:rPr>
          <w:rFonts w:ascii="Arial" w:eastAsia="Calibri" w:hAnsi="Arial" w:cs="Arial"/>
          <w:sz w:val="20"/>
          <w:szCs w:val="20"/>
          <w:lang w:val="hr-HR" w:eastAsia="hr-HR"/>
        </w:rPr>
        <w:t>i</w:t>
      </w:r>
      <w:r w:rsidR="00937B9D" w:rsidRPr="00937B9D">
        <w:rPr>
          <w:rFonts w:ascii="Arial" w:eastAsia="Calibri" w:hAnsi="Arial" w:cs="Arial"/>
          <w:sz w:val="20"/>
          <w:szCs w:val="20"/>
          <w:lang w:val="hr-HR" w:eastAsia="hr-HR"/>
        </w:rPr>
        <w:t>jeljenih iznosa od pro</w:t>
      </w:r>
      <w:r w:rsidR="00D32153">
        <w:rPr>
          <w:rFonts w:ascii="Arial" w:eastAsia="Calibri" w:hAnsi="Arial" w:cs="Arial"/>
          <w:sz w:val="20"/>
          <w:szCs w:val="20"/>
          <w:lang w:val="hr-HR" w:eastAsia="hr-HR"/>
        </w:rPr>
        <w:t>tekle</w:t>
      </w:r>
      <w:r w:rsidR="00937B9D" w:rsidRPr="00937B9D">
        <w:rPr>
          <w:rFonts w:ascii="Arial" w:eastAsia="Calibri" w:hAnsi="Arial" w:cs="Arial"/>
          <w:sz w:val="20"/>
          <w:szCs w:val="20"/>
          <w:lang w:val="hr-HR" w:eastAsia="hr-HR"/>
        </w:rPr>
        <w:t xml:space="preserve"> godine.  Za iznos ostvarenih prihoda od MZO-a u iznosu od </w:t>
      </w:r>
      <w:r w:rsidR="0081462C">
        <w:rPr>
          <w:rFonts w:ascii="Arial" w:eastAsia="Calibri" w:hAnsi="Arial" w:cs="Arial"/>
          <w:sz w:val="20"/>
          <w:szCs w:val="20"/>
          <w:lang w:val="hr-HR" w:eastAsia="hr-HR"/>
        </w:rPr>
        <w:t>7.123,80 EUR</w:t>
      </w:r>
      <w:r w:rsidR="00937B9D" w:rsidRPr="00937B9D">
        <w:rPr>
          <w:rFonts w:ascii="Arial" w:eastAsia="Calibri" w:hAnsi="Arial" w:cs="Arial"/>
          <w:sz w:val="20"/>
          <w:szCs w:val="20"/>
          <w:lang w:val="hr-HR" w:eastAsia="hr-HR"/>
        </w:rPr>
        <w:t xml:space="preserve"> izvršeni su rashodi u istom iznosu</w:t>
      </w:r>
      <w:r w:rsidR="00E8561B">
        <w:rPr>
          <w:rFonts w:ascii="Arial" w:eastAsia="Calibri" w:hAnsi="Arial" w:cs="Arial"/>
          <w:sz w:val="20"/>
          <w:szCs w:val="20"/>
          <w:lang w:val="hr-HR" w:eastAsia="hr-HR"/>
        </w:rPr>
        <w:t>, s</w:t>
      </w:r>
      <w:r w:rsidR="00937B9D" w:rsidRPr="00937B9D">
        <w:rPr>
          <w:rFonts w:ascii="Arial" w:eastAsia="Calibri" w:hAnsi="Arial" w:cs="Arial"/>
          <w:sz w:val="20"/>
          <w:szCs w:val="20"/>
          <w:lang w:val="hr-HR" w:eastAsia="hr-HR"/>
        </w:rPr>
        <w:t xml:space="preserve"> obzirom da se dodijeljena sredstva pravdaju MZO-u putem periodičnih izvještaja. Sukladno čl. 52.-53. Zakona o proračunu</w:t>
      </w:r>
      <w:r w:rsidR="00937B9D">
        <w:rPr>
          <w:rFonts w:ascii="Arial" w:eastAsia="Calibri" w:hAnsi="Arial" w:cs="Arial"/>
          <w:sz w:val="20"/>
          <w:szCs w:val="20"/>
          <w:lang w:val="hr-HR" w:eastAsia="hr-HR"/>
        </w:rPr>
        <w:t>,</w:t>
      </w:r>
      <w:r w:rsidR="00937B9D" w:rsidRPr="00937B9D">
        <w:rPr>
          <w:rFonts w:ascii="Arial" w:eastAsia="Calibri" w:hAnsi="Arial" w:cs="Arial"/>
          <w:sz w:val="20"/>
          <w:szCs w:val="20"/>
          <w:lang w:val="hr-HR" w:eastAsia="hr-HR"/>
        </w:rPr>
        <w:t xml:space="preserve">  uplaćene i prenesene, a manje planirane pomoći, donacije i prihodi za posebne namjene mogu se izvršavati iznad planiranih iznosa do visine uplaćenih, odnosno prenesenih sredstava.</w:t>
      </w:r>
    </w:p>
    <w:p w14:paraId="4D8CAB96" w14:textId="289F7DE6" w:rsidR="00305471" w:rsidRDefault="00305471" w:rsidP="002E4F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655F2E32" w14:textId="4FD17787" w:rsidR="00305471" w:rsidRDefault="0081462C" w:rsidP="0030547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>T</w:t>
      </w:r>
      <w:r w:rsidR="00305471" w:rsidRPr="000A63CC">
        <w:rPr>
          <w:rFonts w:ascii="Arial" w:eastAsia="Calibri" w:hAnsi="Arial" w:cs="Arial"/>
          <w:sz w:val="20"/>
          <w:szCs w:val="20"/>
          <w:lang w:val="hr-HR" w:eastAsia="hr-HR"/>
        </w:rPr>
        <w:t xml:space="preserve">ijekom 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prvog polugodišta </w:t>
      </w:r>
      <w:r w:rsidR="00305471" w:rsidRPr="000A63CC">
        <w:rPr>
          <w:rFonts w:ascii="Arial" w:eastAsia="Calibri" w:hAnsi="Arial" w:cs="Arial"/>
          <w:sz w:val="20"/>
          <w:szCs w:val="20"/>
          <w:lang w:val="hr-HR" w:eastAsia="hr-HR"/>
        </w:rPr>
        <w:t>202</w:t>
      </w:r>
      <w:r w:rsidR="00305471">
        <w:rPr>
          <w:rFonts w:ascii="Arial" w:eastAsia="Calibri" w:hAnsi="Arial" w:cs="Arial"/>
          <w:sz w:val="20"/>
          <w:szCs w:val="20"/>
          <w:lang w:val="hr-HR" w:eastAsia="hr-HR"/>
        </w:rPr>
        <w:t>3</w:t>
      </w:r>
      <w:r w:rsidR="00305471" w:rsidRPr="000A63CC">
        <w:rPr>
          <w:rFonts w:ascii="Arial" w:eastAsia="Calibri" w:hAnsi="Arial" w:cs="Arial"/>
          <w:sz w:val="20"/>
          <w:szCs w:val="20"/>
          <w:lang w:val="hr-HR" w:eastAsia="hr-HR"/>
        </w:rPr>
        <w:t>. godine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ostvarene su d</w:t>
      </w:r>
      <w:r w:rsidRPr="000A63CC">
        <w:rPr>
          <w:rFonts w:ascii="Arial" w:eastAsia="Calibri" w:hAnsi="Arial" w:cs="Arial"/>
          <w:sz w:val="20"/>
          <w:szCs w:val="20"/>
          <w:lang w:val="hr-HR" w:eastAsia="hr-HR"/>
        </w:rPr>
        <w:t>onacije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u višem iznosu od planiranog jer je od strane Upravnog vijeća prihvaćena donacija Gradskog društva Crvenog križa Jastrebarsko</w:t>
      </w:r>
      <w:r w:rsidR="008A4885">
        <w:rPr>
          <w:rFonts w:ascii="Arial" w:eastAsia="Calibri" w:hAnsi="Arial" w:cs="Arial"/>
          <w:sz w:val="20"/>
          <w:szCs w:val="20"/>
          <w:lang w:val="hr-HR" w:eastAsia="hr-HR"/>
        </w:rPr>
        <w:t xml:space="preserve"> u vrijednosti od 329,86 EUR. 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8A4885">
        <w:rPr>
          <w:rFonts w:ascii="Arial" w:eastAsia="Calibri" w:hAnsi="Arial" w:cs="Arial"/>
          <w:sz w:val="20"/>
          <w:szCs w:val="20"/>
          <w:lang w:val="hr-HR" w:eastAsia="hr-HR"/>
        </w:rPr>
        <w:t xml:space="preserve">Donirane su </w:t>
      </w:r>
      <w:r>
        <w:rPr>
          <w:rFonts w:ascii="Arial" w:eastAsia="Calibri" w:hAnsi="Arial" w:cs="Arial"/>
          <w:sz w:val="20"/>
          <w:szCs w:val="20"/>
          <w:lang w:val="hr-HR" w:eastAsia="hr-HR"/>
        </w:rPr>
        <w:t>bočic</w:t>
      </w:r>
      <w:r w:rsidR="008A4885">
        <w:rPr>
          <w:rFonts w:ascii="Arial" w:eastAsia="Calibri" w:hAnsi="Arial" w:cs="Arial"/>
          <w:sz w:val="20"/>
          <w:szCs w:val="20"/>
          <w:lang w:val="hr-HR" w:eastAsia="hr-HR"/>
        </w:rPr>
        <w:t>e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s </w:t>
      </w:r>
      <w:r w:rsidR="008A4885">
        <w:rPr>
          <w:rFonts w:ascii="Arial" w:eastAsia="Calibri" w:hAnsi="Arial" w:cs="Arial"/>
          <w:sz w:val="20"/>
          <w:szCs w:val="20"/>
          <w:lang w:val="hr-HR" w:eastAsia="hr-HR"/>
        </w:rPr>
        <w:t>dezinficijensom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koje se koriste u obavljanju redovn</w:t>
      </w:r>
      <w:r w:rsidR="008A4885">
        <w:rPr>
          <w:rFonts w:ascii="Arial" w:eastAsia="Calibri" w:hAnsi="Arial" w:cs="Arial"/>
          <w:sz w:val="20"/>
          <w:szCs w:val="20"/>
          <w:lang w:val="hr-HR" w:eastAsia="hr-HR"/>
        </w:rPr>
        <w:t>e higijene u Dječjem vrtiću Radost.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</w:p>
    <w:p w14:paraId="2490F67D" w14:textId="77777777" w:rsidR="00937B9D" w:rsidRPr="0061318D" w:rsidRDefault="00937B9D" w:rsidP="002E4F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684CDC9E" w14:textId="1E75076E" w:rsidR="00AA02F6" w:rsidRDefault="00AA02F6" w:rsidP="002E4F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AA02F6">
        <w:rPr>
          <w:rFonts w:ascii="Arial" w:eastAsia="Calibri" w:hAnsi="Arial" w:cs="Arial"/>
          <w:sz w:val="20"/>
          <w:szCs w:val="20"/>
          <w:lang w:val="hr-HR" w:eastAsia="hr-HR"/>
        </w:rPr>
        <w:t xml:space="preserve">Prihodi </w:t>
      </w:r>
      <w:r w:rsidR="008A4885">
        <w:rPr>
          <w:rFonts w:ascii="Arial" w:eastAsia="Calibri" w:hAnsi="Arial" w:cs="Arial"/>
          <w:sz w:val="20"/>
          <w:szCs w:val="20"/>
          <w:lang w:val="hr-HR" w:eastAsia="hr-HR"/>
        </w:rPr>
        <w:t xml:space="preserve">za posebne namjene koji se odnose na prihode </w:t>
      </w:r>
      <w:r w:rsidRPr="00AA02F6">
        <w:rPr>
          <w:rFonts w:ascii="Arial" w:eastAsia="Calibri" w:hAnsi="Arial" w:cs="Arial"/>
          <w:sz w:val="20"/>
          <w:szCs w:val="20"/>
          <w:lang w:val="hr-HR" w:eastAsia="hr-HR"/>
        </w:rPr>
        <w:t xml:space="preserve">od roditelja ostvareni </w:t>
      </w:r>
      <w:r w:rsidR="004562D5">
        <w:rPr>
          <w:rFonts w:ascii="Arial" w:eastAsia="Calibri" w:hAnsi="Arial" w:cs="Arial"/>
          <w:sz w:val="20"/>
          <w:szCs w:val="20"/>
          <w:lang w:val="hr-HR" w:eastAsia="hr-HR"/>
        </w:rPr>
        <w:t xml:space="preserve">su s 54% i posljedica su </w:t>
      </w:r>
      <w:r w:rsidR="00755A09">
        <w:rPr>
          <w:rFonts w:ascii="Arial" w:eastAsia="Calibri" w:hAnsi="Arial" w:cs="Arial"/>
          <w:sz w:val="20"/>
          <w:szCs w:val="20"/>
          <w:lang w:val="hr-HR" w:eastAsia="hr-HR"/>
        </w:rPr>
        <w:t xml:space="preserve">naknadnog upisa djece tijekom 2023. godine koja na početku pedagoške godine </w:t>
      </w:r>
      <w:r w:rsidR="00493910">
        <w:rPr>
          <w:rFonts w:ascii="Arial" w:eastAsia="Calibri" w:hAnsi="Arial" w:cs="Arial"/>
          <w:sz w:val="20"/>
          <w:szCs w:val="20"/>
          <w:lang w:val="hr-HR" w:eastAsia="hr-HR"/>
        </w:rPr>
        <w:t xml:space="preserve"> 2022/2023 </w:t>
      </w:r>
      <w:r w:rsidR="00755A09">
        <w:rPr>
          <w:rFonts w:ascii="Arial" w:eastAsia="Calibri" w:hAnsi="Arial" w:cs="Arial"/>
          <w:sz w:val="20"/>
          <w:szCs w:val="20"/>
          <w:lang w:val="hr-HR" w:eastAsia="hr-HR"/>
        </w:rPr>
        <w:t>nisu napunila godinu dana života.</w:t>
      </w:r>
    </w:p>
    <w:p w14:paraId="2293E36E" w14:textId="77777777" w:rsidR="00F73D8E" w:rsidRPr="0061318D" w:rsidRDefault="00F73D8E" w:rsidP="002E4F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7CD8B7AC" w14:textId="4C66ED61" w:rsidR="00B70BD2" w:rsidRDefault="001C368F" w:rsidP="002E4F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>Ukupni rashodi poslovanja viši su u odnosu na prethodnu godinu za 9%</w:t>
      </w:r>
      <w:r w:rsidR="00122700">
        <w:rPr>
          <w:rFonts w:ascii="Arial" w:eastAsia="Calibri" w:hAnsi="Arial" w:cs="Arial"/>
          <w:sz w:val="20"/>
          <w:szCs w:val="20"/>
          <w:lang w:val="hr-HR" w:eastAsia="hr-HR"/>
        </w:rPr>
        <w:t>, dok su u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odnosu na financijski plan</w:t>
      </w:r>
      <w:r w:rsidR="00122700">
        <w:rPr>
          <w:rFonts w:ascii="Arial" w:eastAsia="Calibri" w:hAnsi="Arial" w:cs="Arial"/>
          <w:sz w:val="20"/>
          <w:szCs w:val="20"/>
          <w:lang w:val="hr-HR" w:eastAsia="hr-HR"/>
        </w:rPr>
        <w:t xml:space="preserve"> ukupni rashodi do 30.</w:t>
      </w:r>
      <w:r w:rsidR="00E73D71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FC18CD">
        <w:rPr>
          <w:rFonts w:ascii="Arial" w:eastAsia="Calibri" w:hAnsi="Arial" w:cs="Arial"/>
          <w:sz w:val="20"/>
          <w:szCs w:val="20"/>
          <w:lang w:val="hr-HR" w:eastAsia="hr-HR"/>
        </w:rPr>
        <w:t>lipnja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izvršeni </w:t>
      </w:r>
      <w:r w:rsidR="00237BF9">
        <w:rPr>
          <w:rFonts w:ascii="Arial" w:eastAsia="Calibri" w:hAnsi="Arial" w:cs="Arial"/>
          <w:sz w:val="20"/>
          <w:szCs w:val="20"/>
          <w:lang w:val="hr-HR" w:eastAsia="hr-HR"/>
        </w:rPr>
        <w:t>u postotku od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48%</w:t>
      </w:r>
      <w:r w:rsidR="00FC18CD">
        <w:rPr>
          <w:rFonts w:ascii="Arial" w:eastAsia="Calibri" w:hAnsi="Arial" w:cs="Arial"/>
          <w:sz w:val="20"/>
          <w:szCs w:val="20"/>
          <w:lang w:val="hr-HR" w:eastAsia="hr-HR"/>
        </w:rPr>
        <w:t xml:space="preserve"> Plana za 2023. godinu.</w:t>
      </w:r>
    </w:p>
    <w:p w14:paraId="6AB96B13" w14:textId="77777777" w:rsidR="00AA4864" w:rsidRDefault="00AA4864" w:rsidP="002E4F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1477E309" w14:textId="564D9E0B" w:rsidR="001C368F" w:rsidRDefault="001C368F" w:rsidP="002E4F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5BC1E4C4" w14:textId="7DDF76DD" w:rsidR="00AA4864" w:rsidRDefault="00AA4864" w:rsidP="00AA486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lastRenderedPageBreak/>
        <w:t>Rashod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>i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za zaposlene</w:t>
      </w:r>
      <w:r w:rsidR="00E8561B">
        <w:rPr>
          <w:rFonts w:ascii="Arial" w:eastAsia="Calibri" w:hAnsi="Arial" w:cs="Arial"/>
          <w:sz w:val="20"/>
          <w:szCs w:val="20"/>
          <w:lang w:val="hr-HR" w:eastAsia="hr-HR"/>
        </w:rPr>
        <w:t xml:space="preserve"> izvršeni su u iznosu od 861.321,60 EUR što čini 48% godišnjeg plana</w:t>
      </w:r>
      <w:r w:rsidR="00237BF9">
        <w:rPr>
          <w:rFonts w:ascii="Arial" w:eastAsia="Calibri" w:hAnsi="Arial" w:cs="Arial"/>
          <w:sz w:val="20"/>
          <w:szCs w:val="20"/>
          <w:lang w:val="hr-HR" w:eastAsia="hr-HR"/>
        </w:rPr>
        <w:t xml:space="preserve"> na toj poziciji te su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 xml:space="preserve"> povećan</w:t>
      </w:r>
      <w:r w:rsidR="00237BF9">
        <w:rPr>
          <w:rFonts w:ascii="Arial" w:eastAsia="Calibri" w:hAnsi="Arial" w:cs="Arial"/>
          <w:sz w:val="20"/>
          <w:szCs w:val="20"/>
          <w:lang w:val="hr-HR" w:eastAsia="hr-HR"/>
        </w:rPr>
        <w:t>i za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 xml:space="preserve"> 10% u odnosu na isto razdoblje prošle godine. Razlog dijela povećanja nalazi se u promjeni osnovice za izračun plaća radnika koja se primjenjuje od 1. travnja 2023. godine temeljem </w:t>
      </w:r>
      <w:r w:rsidR="00997E89">
        <w:rPr>
          <w:rFonts w:ascii="Arial" w:eastAsia="Calibri" w:hAnsi="Arial" w:cs="Arial"/>
          <w:sz w:val="20"/>
          <w:szCs w:val="20"/>
          <w:lang w:val="hr-HR" w:eastAsia="hr-HR"/>
        </w:rPr>
        <w:t>važećeg k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>olektivnog ugovora</w:t>
      </w:r>
      <w:r w:rsidR="00E8561B">
        <w:rPr>
          <w:rFonts w:ascii="Arial" w:eastAsia="Calibri" w:hAnsi="Arial" w:cs="Arial"/>
          <w:sz w:val="20"/>
          <w:szCs w:val="20"/>
          <w:lang w:val="hr-HR" w:eastAsia="hr-HR"/>
        </w:rPr>
        <w:t xml:space="preserve">. 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E8561B" w:rsidRPr="00E8561B">
        <w:rPr>
          <w:rFonts w:ascii="Arial" w:eastAsia="Calibri" w:hAnsi="Arial" w:cs="Arial"/>
          <w:sz w:val="20"/>
          <w:szCs w:val="20"/>
          <w:lang w:val="hr-HR" w:eastAsia="hr-HR"/>
        </w:rPr>
        <w:t xml:space="preserve">Unutar </w:t>
      </w:r>
      <w:r w:rsidR="00E8561B">
        <w:rPr>
          <w:rFonts w:ascii="Arial" w:eastAsia="Calibri" w:hAnsi="Arial" w:cs="Arial"/>
          <w:sz w:val="20"/>
          <w:szCs w:val="20"/>
          <w:lang w:val="hr-HR" w:eastAsia="hr-HR"/>
        </w:rPr>
        <w:t xml:space="preserve">navedene skupine rashoda </w:t>
      </w:r>
      <w:r>
        <w:rPr>
          <w:rFonts w:ascii="Arial" w:eastAsia="Calibri" w:hAnsi="Arial" w:cs="Arial"/>
          <w:sz w:val="20"/>
          <w:szCs w:val="20"/>
          <w:lang w:val="hr-HR" w:eastAsia="hr-HR"/>
        </w:rPr>
        <w:t>povećano je izvršenje Ostalih rashoda za zaposlene radi različite dinamike pojedinih isplati. Tako se gotovo cijeli planirani iznos regresa isplatio na kraju prvog polugodišta kao i otpremnine te naknade za bolest i smrtni slučaj.</w:t>
      </w:r>
    </w:p>
    <w:p w14:paraId="09C7580B" w14:textId="77777777" w:rsidR="00AA4864" w:rsidRDefault="00AA4864" w:rsidP="00AA486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3F8955BE" w14:textId="45A991B8" w:rsidR="00AA4864" w:rsidRDefault="00E8561B" w:rsidP="00AA486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>Materijalni rashodi izvršeni su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 xml:space="preserve"> u iznosu od 199.649,26 EUR</w:t>
      </w:r>
      <w:r w:rsidR="00237BF9">
        <w:rPr>
          <w:rFonts w:ascii="Arial" w:eastAsia="Calibri" w:hAnsi="Arial" w:cs="Arial"/>
          <w:sz w:val="20"/>
          <w:szCs w:val="20"/>
          <w:lang w:val="hr-HR" w:eastAsia="hr-HR"/>
        </w:rPr>
        <w:t>, čime je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 xml:space="preserve"> realizirano 46% planiranih rashoda </w:t>
      </w:r>
      <w:r w:rsidR="00F63E3B">
        <w:rPr>
          <w:rFonts w:ascii="Arial" w:eastAsia="Calibri" w:hAnsi="Arial" w:cs="Arial"/>
          <w:sz w:val="20"/>
          <w:szCs w:val="20"/>
          <w:lang w:val="hr-HR" w:eastAsia="hr-HR"/>
        </w:rPr>
        <w:t xml:space="preserve">na 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>ov</w:t>
      </w:r>
      <w:r w:rsidR="00F63E3B">
        <w:rPr>
          <w:rFonts w:ascii="Arial" w:eastAsia="Calibri" w:hAnsi="Arial" w:cs="Arial"/>
          <w:sz w:val="20"/>
          <w:szCs w:val="20"/>
          <w:lang w:val="hr-HR" w:eastAsia="hr-HR"/>
        </w:rPr>
        <w:t>oj</w:t>
      </w:r>
      <w:r w:rsidR="00093743">
        <w:rPr>
          <w:rFonts w:ascii="Arial" w:eastAsia="Calibri" w:hAnsi="Arial" w:cs="Arial"/>
          <w:sz w:val="20"/>
          <w:szCs w:val="20"/>
          <w:lang w:val="hr-HR" w:eastAsia="hr-HR"/>
        </w:rPr>
        <w:t xml:space="preserve"> skupin</w:t>
      </w:r>
      <w:r w:rsidR="00F63E3B">
        <w:rPr>
          <w:rFonts w:ascii="Arial" w:eastAsia="Calibri" w:hAnsi="Arial" w:cs="Arial"/>
          <w:sz w:val="20"/>
          <w:szCs w:val="20"/>
          <w:lang w:val="hr-HR" w:eastAsia="hr-HR"/>
        </w:rPr>
        <w:t xml:space="preserve">i. U odnosu na prošlu godinu nije bilo značajnog povećanja u izvršenju materijalni rashoda. </w:t>
      </w:r>
      <w:r w:rsidR="00AA4864" w:rsidRPr="00FC18CD">
        <w:rPr>
          <w:rFonts w:ascii="Arial" w:eastAsia="Calibri" w:hAnsi="Arial" w:cs="Arial"/>
          <w:sz w:val="20"/>
          <w:szCs w:val="20"/>
          <w:lang w:val="hr-HR" w:eastAsia="hr-HR"/>
        </w:rPr>
        <w:t>P</w:t>
      </w:r>
      <w:r w:rsidR="00F63E3B">
        <w:rPr>
          <w:rFonts w:ascii="Arial" w:eastAsia="Calibri" w:hAnsi="Arial" w:cs="Arial"/>
          <w:sz w:val="20"/>
          <w:szCs w:val="20"/>
          <w:lang w:val="hr-HR" w:eastAsia="hr-HR"/>
        </w:rPr>
        <w:t>ojedina p</w:t>
      </w:r>
      <w:r w:rsidR="00AA4864" w:rsidRPr="00FC18CD">
        <w:rPr>
          <w:rFonts w:ascii="Arial" w:eastAsia="Calibri" w:hAnsi="Arial" w:cs="Arial"/>
          <w:sz w:val="20"/>
          <w:szCs w:val="20"/>
          <w:lang w:val="hr-HR" w:eastAsia="hr-HR"/>
        </w:rPr>
        <w:t>ovećanj</w:t>
      </w:r>
      <w:r w:rsidR="00F63E3B">
        <w:rPr>
          <w:rFonts w:ascii="Arial" w:eastAsia="Calibri" w:hAnsi="Arial" w:cs="Arial"/>
          <w:sz w:val="20"/>
          <w:szCs w:val="20"/>
          <w:lang w:val="hr-HR" w:eastAsia="hr-HR"/>
        </w:rPr>
        <w:t>a unutar</w:t>
      </w:r>
      <w:r w:rsidR="00AA4864" w:rsidRPr="00FC18CD">
        <w:rPr>
          <w:rFonts w:ascii="Arial" w:eastAsia="Calibri" w:hAnsi="Arial" w:cs="Arial"/>
          <w:sz w:val="20"/>
          <w:szCs w:val="20"/>
          <w:lang w:val="hr-HR" w:eastAsia="hr-HR"/>
        </w:rPr>
        <w:t xml:space="preserve"> skupin</w:t>
      </w:r>
      <w:r w:rsidR="00F63E3B">
        <w:rPr>
          <w:rFonts w:ascii="Arial" w:eastAsia="Calibri" w:hAnsi="Arial" w:cs="Arial"/>
          <w:sz w:val="20"/>
          <w:szCs w:val="20"/>
          <w:lang w:val="hr-HR" w:eastAsia="hr-HR"/>
        </w:rPr>
        <w:t>e</w:t>
      </w:r>
      <w:r w:rsidR="00AA4864" w:rsidRPr="00FC18CD">
        <w:rPr>
          <w:rFonts w:ascii="Arial" w:eastAsia="Calibri" w:hAnsi="Arial" w:cs="Arial"/>
          <w:sz w:val="20"/>
          <w:szCs w:val="20"/>
          <w:lang w:val="hr-HR" w:eastAsia="hr-HR"/>
        </w:rPr>
        <w:t xml:space="preserve"> Materijalni</w:t>
      </w:r>
      <w:r w:rsidR="00F63E3B">
        <w:rPr>
          <w:rFonts w:ascii="Arial" w:eastAsia="Calibri" w:hAnsi="Arial" w:cs="Arial"/>
          <w:sz w:val="20"/>
          <w:szCs w:val="20"/>
          <w:lang w:val="hr-HR" w:eastAsia="hr-HR"/>
        </w:rPr>
        <w:t>h</w:t>
      </w:r>
      <w:r w:rsidR="00AA4864" w:rsidRPr="00FC18CD">
        <w:rPr>
          <w:rFonts w:ascii="Arial" w:eastAsia="Calibri" w:hAnsi="Arial" w:cs="Arial"/>
          <w:sz w:val="20"/>
          <w:szCs w:val="20"/>
          <w:lang w:val="hr-HR" w:eastAsia="hr-HR"/>
        </w:rPr>
        <w:t xml:space="preserve"> rashoda uvjetovan</w:t>
      </w:r>
      <w:r w:rsidR="00F63E3B">
        <w:rPr>
          <w:rFonts w:ascii="Arial" w:eastAsia="Calibri" w:hAnsi="Arial" w:cs="Arial"/>
          <w:sz w:val="20"/>
          <w:szCs w:val="20"/>
          <w:lang w:val="hr-HR" w:eastAsia="hr-HR"/>
        </w:rPr>
        <w:t>a su</w:t>
      </w:r>
      <w:r w:rsidR="00AA4864" w:rsidRPr="00FC18CD">
        <w:rPr>
          <w:rFonts w:ascii="Arial" w:eastAsia="Calibri" w:hAnsi="Arial" w:cs="Arial"/>
          <w:sz w:val="20"/>
          <w:szCs w:val="20"/>
          <w:lang w:val="hr-HR" w:eastAsia="hr-HR"/>
        </w:rPr>
        <w:t xml:space="preserve"> poskupljenjima na tržištu plina i peleta za </w:t>
      </w:r>
      <w:r w:rsidR="00F63E3B" w:rsidRPr="00FC18CD">
        <w:rPr>
          <w:rFonts w:ascii="Arial" w:eastAsia="Calibri" w:hAnsi="Arial" w:cs="Arial"/>
          <w:sz w:val="20"/>
          <w:szCs w:val="20"/>
          <w:lang w:val="hr-HR" w:eastAsia="hr-HR"/>
        </w:rPr>
        <w:t>ogrjev</w:t>
      </w:r>
      <w:r w:rsidR="00AA4864" w:rsidRPr="00FC18CD">
        <w:rPr>
          <w:rFonts w:ascii="Arial" w:eastAsia="Calibri" w:hAnsi="Arial" w:cs="Arial"/>
          <w:sz w:val="20"/>
          <w:szCs w:val="20"/>
          <w:lang w:val="hr-HR" w:eastAsia="hr-HR"/>
        </w:rPr>
        <w:t>, zatim povećanju cijena usluge popravka prijevoznog sredstva, povećanjem naknade za prijevoz javnim prijevozom na službenom putu u zemlji te potrebom ažuriranja aplikacije e-upisa</w:t>
      </w:r>
      <w:r w:rsidR="005B42D4">
        <w:rPr>
          <w:rFonts w:ascii="Arial" w:eastAsia="Calibri" w:hAnsi="Arial" w:cs="Arial"/>
          <w:sz w:val="20"/>
          <w:szCs w:val="20"/>
          <w:lang w:val="hr-HR" w:eastAsia="hr-HR"/>
        </w:rPr>
        <w:t>, dok su</w:t>
      </w:r>
      <w:r w:rsidR="00237BF9">
        <w:rPr>
          <w:rFonts w:ascii="Arial" w:eastAsia="Calibri" w:hAnsi="Arial" w:cs="Arial"/>
          <w:sz w:val="20"/>
          <w:szCs w:val="20"/>
          <w:lang w:val="hr-HR" w:eastAsia="hr-HR"/>
        </w:rPr>
        <w:t xml:space="preserve"> ostali</w:t>
      </w:r>
      <w:r w:rsidR="005B42D4">
        <w:rPr>
          <w:rFonts w:ascii="Arial" w:eastAsia="Calibri" w:hAnsi="Arial" w:cs="Arial"/>
          <w:sz w:val="20"/>
          <w:szCs w:val="20"/>
          <w:lang w:val="hr-HR" w:eastAsia="hr-HR"/>
        </w:rPr>
        <w:t xml:space="preserve"> rashodi za usluge izvršeni u manjem iznosu u odnosu na isto razdoblje protekle godine.</w:t>
      </w:r>
    </w:p>
    <w:p w14:paraId="12AB3943" w14:textId="63A74227" w:rsidR="00AA4864" w:rsidRDefault="00AA4864" w:rsidP="00AA486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22A1B4DA" w14:textId="048D3435" w:rsidR="00141453" w:rsidRDefault="00141453" w:rsidP="00AA486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Financijski rashodi izvršeni su u iznosu od 1323,97 EUR i čine 57% ukupno planiranih financijskih rashoda za 2023. godinu. U odnosu na prošlu godinu, navedeni rashodi ostali su na istoj razini kao i </w:t>
      </w:r>
      <w:r w:rsidR="005B42D4">
        <w:rPr>
          <w:rFonts w:ascii="Arial" w:eastAsia="Calibri" w:hAnsi="Arial" w:cs="Arial"/>
          <w:sz w:val="20"/>
          <w:szCs w:val="20"/>
          <w:lang w:val="hr-HR" w:eastAsia="hr-HR"/>
        </w:rPr>
        <w:t>u istom razdoblju 2022.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godine.</w:t>
      </w:r>
    </w:p>
    <w:p w14:paraId="65BEF76C" w14:textId="6A26D2C2" w:rsidR="00141453" w:rsidRDefault="00141453" w:rsidP="00AA486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6E704539" w14:textId="088B062D" w:rsidR="00141453" w:rsidRDefault="00EF18D3" w:rsidP="00AA486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>Naknade građanima i kućanstvima odnose se na rashode za pomoćnike djeci s teškoćama koje su izvršene u iznosu od 19.898,21 EUR i čine 55% plan</w:t>
      </w:r>
      <w:r w:rsidR="00997E89">
        <w:rPr>
          <w:rFonts w:ascii="Arial" w:eastAsia="Calibri" w:hAnsi="Arial" w:cs="Arial"/>
          <w:sz w:val="20"/>
          <w:szCs w:val="20"/>
          <w:lang w:val="hr-HR" w:eastAsia="hr-HR"/>
        </w:rPr>
        <w:t>iranog iznosa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na ovoj skupini rashoda. U odnosu na </w:t>
      </w:r>
      <w:r w:rsidR="00237BF9">
        <w:rPr>
          <w:rFonts w:ascii="Arial" w:eastAsia="Calibri" w:hAnsi="Arial" w:cs="Arial"/>
          <w:sz w:val="20"/>
          <w:szCs w:val="20"/>
          <w:lang w:val="hr-HR" w:eastAsia="hr-HR"/>
        </w:rPr>
        <w:t>izvršenje protekle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godin</w:t>
      </w:r>
      <w:r w:rsidR="00237BF9">
        <w:rPr>
          <w:rFonts w:ascii="Arial" w:eastAsia="Calibri" w:hAnsi="Arial" w:cs="Arial"/>
          <w:sz w:val="20"/>
          <w:szCs w:val="20"/>
          <w:lang w:val="hr-HR" w:eastAsia="hr-HR"/>
        </w:rPr>
        <w:t>e,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navedeni rashodi viši su za 78%</w:t>
      </w:r>
      <w:r w:rsidR="00237BF9">
        <w:rPr>
          <w:rFonts w:ascii="Arial" w:eastAsia="Calibri" w:hAnsi="Arial" w:cs="Arial"/>
          <w:sz w:val="20"/>
          <w:szCs w:val="20"/>
          <w:lang w:val="hr-HR" w:eastAsia="hr-HR"/>
        </w:rPr>
        <w:t>,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što je posljedica povećanja potrebe za </w:t>
      </w:r>
      <w:r w:rsidR="00997E89">
        <w:rPr>
          <w:rFonts w:ascii="Arial" w:eastAsia="Calibri" w:hAnsi="Arial" w:cs="Arial"/>
          <w:sz w:val="20"/>
          <w:szCs w:val="20"/>
          <w:lang w:val="hr-HR" w:eastAsia="hr-HR"/>
        </w:rPr>
        <w:t xml:space="preserve">dodatnim </w:t>
      </w:r>
      <w:r>
        <w:rPr>
          <w:rFonts w:ascii="Arial" w:eastAsia="Calibri" w:hAnsi="Arial" w:cs="Arial"/>
          <w:sz w:val="20"/>
          <w:szCs w:val="20"/>
          <w:lang w:val="hr-HR" w:eastAsia="hr-HR"/>
        </w:rPr>
        <w:t>angažiranjem</w:t>
      </w:r>
      <w:r w:rsidR="00997E89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>
        <w:rPr>
          <w:rFonts w:ascii="Arial" w:eastAsia="Calibri" w:hAnsi="Arial" w:cs="Arial"/>
          <w:sz w:val="20"/>
          <w:szCs w:val="20"/>
          <w:lang w:val="hr-HR" w:eastAsia="hr-HR"/>
        </w:rPr>
        <w:t>pomoćnika radi povećanja broja djece s teškoćama kojima je dodijeljen pomoćnik te promjene u načinu obračuna naknadi za rad pomoćnika na način da se naknada određuje temeljem visine studentske satnice</w:t>
      </w:r>
      <w:r w:rsidR="00766744">
        <w:rPr>
          <w:rFonts w:ascii="Arial" w:eastAsia="Calibri" w:hAnsi="Arial" w:cs="Arial"/>
          <w:sz w:val="20"/>
          <w:szCs w:val="20"/>
          <w:lang w:val="hr-HR" w:eastAsia="hr-HR"/>
        </w:rPr>
        <w:t>.</w:t>
      </w:r>
    </w:p>
    <w:p w14:paraId="4DC06DA5" w14:textId="77777777" w:rsidR="00AA4864" w:rsidRDefault="00AA4864" w:rsidP="00AA486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6A3B3685" w14:textId="38927DEB" w:rsidR="00AA4864" w:rsidRPr="00FC18CD" w:rsidRDefault="00141453" w:rsidP="00AA486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>S</w:t>
      </w:r>
      <w:r w:rsidR="00AA4864" w:rsidRPr="00FC18CD">
        <w:rPr>
          <w:rFonts w:ascii="Arial" w:eastAsia="Calibri" w:hAnsi="Arial" w:cs="Arial"/>
          <w:sz w:val="20"/>
          <w:szCs w:val="20"/>
          <w:lang w:val="hr-HR" w:eastAsia="hr-HR"/>
        </w:rPr>
        <w:t xml:space="preserve">kupina Ostali rashodi </w:t>
      </w:r>
      <w:r w:rsidRPr="00141453">
        <w:rPr>
          <w:rFonts w:ascii="Arial" w:eastAsia="Calibri" w:hAnsi="Arial" w:cs="Arial"/>
          <w:sz w:val="20"/>
          <w:szCs w:val="20"/>
          <w:lang w:val="hr-HR" w:eastAsia="hr-HR"/>
        </w:rPr>
        <w:t xml:space="preserve">uvedena je 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1. izmjenama i dopunama Financijskog plana za 2023. godinu  </w:t>
      </w:r>
      <w:r w:rsidR="00AA4864" w:rsidRPr="00FC18CD">
        <w:rPr>
          <w:rFonts w:ascii="Arial" w:eastAsia="Calibri" w:hAnsi="Arial" w:cs="Arial"/>
          <w:sz w:val="20"/>
          <w:szCs w:val="20"/>
          <w:lang w:val="hr-HR" w:eastAsia="hr-HR"/>
        </w:rPr>
        <w:t>zbog potrebe evidentiranja naplaćene kazne sanitarnog inspektora koja je izrečena radi nakupljanja vlage u prostoriji praon</w:t>
      </w:r>
      <w:r w:rsidR="00997E89">
        <w:rPr>
          <w:rFonts w:ascii="Arial" w:eastAsia="Calibri" w:hAnsi="Arial" w:cs="Arial"/>
          <w:sz w:val="20"/>
          <w:szCs w:val="20"/>
          <w:lang w:val="hr-HR" w:eastAsia="hr-HR"/>
        </w:rPr>
        <w:t>ice</w:t>
      </w:r>
      <w:r w:rsidR="00AA4864" w:rsidRPr="00FC18CD">
        <w:rPr>
          <w:rFonts w:ascii="Arial" w:eastAsia="Calibri" w:hAnsi="Arial" w:cs="Arial"/>
          <w:sz w:val="20"/>
          <w:szCs w:val="20"/>
          <w:lang w:val="hr-HR" w:eastAsia="hr-HR"/>
        </w:rPr>
        <w:t xml:space="preserve"> posuđa u objektu Radost 1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, </w:t>
      </w:r>
      <w:r w:rsidR="005B42D4">
        <w:rPr>
          <w:rFonts w:ascii="Arial" w:eastAsia="Calibri" w:hAnsi="Arial" w:cs="Arial"/>
          <w:sz w:val="20"/>
          <w:szCs w:val="20"/>
          <w:lang w:val="hr-HR" w:eastAsia="hr-HR"/>
        </w:rPr>
        <w:t>koje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prošle godine nije bilo</w:t>
      </w:r>
      <w:r w:rsidR="00237BF9">
        <w:rPr>
          <w:rFonts w:ascii="Arial" w:eastAsia="Calibri" w:hAnsi="Arial" w:cs="Arial"/>
          <w:sz w:val="20"/>
          <w:szCs w:val="20"/>
          <w:lang w:val="hr-HR" w:eastAsia="hr-HR"/>
        </w:rPr>
        <w:t>,</w:t>
      </w:r>
      <w:r w:rsidR="00766744">
        <w:rPr>
          <w:rFonts w:ascii="Arial" w:eastAsia="Calibri" w:hAnsi="Arial" w:cs="Arial"/>
          <w:sz w:val="20"/>
          <w:szCs w:val="20"/>
          <w:lang w:val="hr-HR" w:eastAsia="hr-HR"/>
        </w:rPr>
        <w:t xml:space="preserve"> te</w:t>
      </w:r>
      <w:r w:rsidR="00237BF9">
        <w:rPr>
          <w:rFonts w:ascii="Arial" w:eastAsia="Calibri" w:hAnsi="Arial" w:cs="Arial"/>
          <w:sz w:val="20"/>
          <w:szCs w:val="20"/>
          <w:lang w:val="hr-HR" w:eastAsia="hr-HR"/>
        </w:rPr>
        <w:t xml:space="preserve"> stoga</w:t>
      </w:r>
      <w:r w:rsidR="00766744">
        <w:rPr>
          <w:rFonts w:ascii="Arial" w:eastAsia="Calibri" w:hAnsi="Arial" w:cs="Arial"/>
          <w:sz w:val="20"/>
          <w:szCs w:val="20"/>
          <w:lang w:val="hr-HR" w:eastAsia="hr-HR"/>
        </w:rPr>
        <w:t xml:space="preserve"> izvršenje na ovoj poziciji </w:t>
      </w:r>
      <w:r w:rsidR="005B42D4">
        <w:rPr>
          <w:rFonts w:ascii="Arial" w:eastAsia="Calibri" w:hAnsi="Arial" w:cs="Arial"/>
          <w:sz w:val="20"/>
          <w:szCs w:val="20"/>
          <w:lang w:val="hr-HR" w:eastAsia="hr-HR"/>
        </w:rPr>
        <w:t>u tekućoj godini</w:t>
      </w:r>
      <w:r w:rsidR="00997E89">
        <w:rPr>
          <w:rFonts w:ascii="Arial" w:eastAsia="Calibri" w:hAnsi="Arial" w:cs="Arial"/>
          <w:sz w:val="20"/>
          <w:szCs w:val="20"/>
          <w:lang w:val="hr-HR" w:eastAsia="hr-HR"/>
        </w:rPr>
        <w:t xml:space="preserve"> iznosi</w:t>
      </w:r>
      <w:r w:rsidR="005B42D4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766744">
        <w:rPr>
          <w:rFonts w:ascii="Arial" w:eastAsia="Calibri" w:hAnsi="Arial" w:cs="Arial"/>
          <w:sz w:val="20"/>
          <w:szCs w:val="20"/>
          <w:lang w:val="hr-HR" w:eastAsia="hr-HR"/>
        </w:rPr>
        <w:t>100% plana.</w:t>
      </w:r>
    </w:p>
    <w:p w14:paraId="49FBAC3F" w14:textId="77777777" w:rsidR="00AA4864" w:rsidRDefault="00AA4864" w:rsidP="00FC18C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7AB4FAA9" w14:textId="225BDDE9" w:rsidR="001C368F" w:rsidRDefault="001C368F" w:rsidP="00FC18C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>Rashodi za nabavu nefina</w:t>
      </w:r>
      <w:r w:rsidR="00122700">
        <w:rPr>
          <w:rFonts w:ascii="Arial" w:eastAsia="Calibri" w:hAnsi="Arial" w:cs="Arial"/>
          <w:sz w:val="20"/>
          <w:szCs w:val="20"/>
          <w:lang w:val="hr-HR" w:eastAsia="hr-HR"/>
        </w:rPr>
        <w:t>n</w:t>
      </w:r>
      <w:r>
        <w:rPr>
          <w:rFonts w:ascii="Arial" w:eastAsia="Calibri" w:hAnsi="Arial" w:cs="Arial"/>
          <w:sz w:val="20"/>
          <w:szCs w:val="20"/>
          <w:lang w:val="hr-HR" w:eastAsia="hr-HR"/>
        </w:rPr>
        <w:t>cijske imovine značajn</w:t>
      </w:r>
      <w:r w:rsidR="00FC18CD">
        <w:rPr>
          <w:rFonts w:ascii="Arial" w:eastAsia="Calibri" w:hAnsi="Arial" w:cs="Arial"/>
          <w:sz w:val="20"/>
          <w:szCs w:val="20"/>
          <w:lang w:val="hr-HR" w:eastAsia="hr-HR"/>
        </w:rPr>
        <w:t>ije</w:t>
      </w: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 odstupaju </w:t>
      </w:r>
      <w:r w:rsidR="00FC18CD">
        <w:rPr>
          <w:rFonts w:ascii="Arial" w:eastAsia="Calibri" w:hAnsi="Arial" w:cs="Arial"/>
          <w:sz w:val="20"/>
          <w:szCs w:val="20"/>
          <w:lang w:val="hr-HR" w:eastAsia="hr-HR"/>
        </w:rPr>
        <w:t>u odnosu na isto razdoblje prethodne godine</w:t>
      </w:r>
      <w:r w:rsidR="006336AA">
        <w:rPr>
          <w:rFonts w:ascii="Arial" w:eastAsia="Calibri" w:hAnsi="Arial" w:cs="Arial"/>
          <w:sz w:val="20"/>
          <w:szCs w:val="20"/>
          <w:lang w:val="hr-HR" w:eastAsia="hr-HR"/>
        </w:rPr>
        <w:t xml:space="preserve"> te je</w:t>
      </w:r>
      <w:r w:rsidR="00FC18CD">
        <w:rPr>
          <w:rFonts w:ascii="Arial" w:eastAsia="Calibri" w:hAnsi="Arial" w:cs="Arial"/>
          <w:sz w:val="20"/>
          <w:szCs w:val="20"/>
          <w:lang w:val="hr-HR" w:eastAsia="hr-HR"/>
        </w:rPr>
        <w:t xml:space="preserve"> u tekućoj godini realizirano 99% </w:t>
      </w:r>
      <w:r w:rsidR="00997E89">
        <w:rPr>
          <w:rFonts w:ascii="Arial" w:eastAsia="Calibri" w:hAnsi="Arial" w:cs="Arial"/>
          <w:sz w:val="20"/>
          <w:szCs w:val="20"/>
          <w:lang w:val="hr-HR" w:eastAsia="hr-HR"/>
        </w:rPr>
        <w:t>p</w:t>
      </w:r>
      <w:r w:rsidR="00FC18CD">
        <w:rPr>
          <w:rFonts w:ascii="Arial" w:eastAsia="Calibri" w:hAnsi="Arial" w:cs="Arial"/>
          <w:sz w:val="20"/>
          <w:szCs w:val="20"/>
          <w:lang w:val="hr-HR" w:eastAsia="hr-HR"/>
        </w:rPr>
        <w:t>lan</w:t>
      </w:r>
      <w:r w:rsidR="00997E89">
        <w:rPr>
          <w:rFonts w:ascii="Arial" w:eastAsia="Calibri" w:hAnsi="Arial" w:cs="Arial"/>
          <w:sz w:val="20"/>
          <w:szCs w:val="20"/>
          <w:lang w:val="hr-HR" w:eastAsia="hr-HR"/>
        </w:rPr>
        <w:t>iranog iznosa na ovoj poziciji</w:t>
      </w:r>
      <w:r w:rsidR="00FC18CD">
        <w:rPr>
          <w:rFonts w:ascii="Arial" w:eastAsia="Calibri" w:hAnsi="Arial" w:cs="Arial"/>
          <w:sz w:val="20"/>
          <w:szCs w:val="20"/>
          <w:lang w:val="hr-HR" w:eastAsia="hr-HR"/>
        </w:rPr>
        <w:t xml:space="preserve">. </w:t>
      </w:r>
      <w:r w:rsidR="00AA4864">
        <w:rPr>
          <w:rFonts w:ascii="Arial" w:eastAsia="Calibri" w:hAnsi="Arial" w:cs="Arial"/>
          <w:sz w:val="20"/>
          <w:szCs w:val="20"/>
          <w:lang w:val="hr-HR" w:eastAsia="hr-HR"/>
        </w:rPr>
        <w:t>Navedeno je bilo potrebno</w:t>
      </w:r>
      <w:r w:rsidR="00FC18CD">
        <w:rPr>
          <w:rFonts w:ascii="Arial" w:eastAsia="Calibri" w:hAnsi="Arial" w:cs="Arial"/>
          <w:sz w:val="20"/>
          <w:szCs w:val="20"/>
          <w:lang w:val="hr-HR" w:eastAsia="hr-HR"/>
        </w:rPr>
        <w:t xml:space="preserve"> iz razloga što je u tekućem razdoblju </w:t>
      </w:r>
      <w:r w:rsidR="00AA4864">
        <w:rPr>
          <w:rFonts w:ascii="Arial" w:eastAsia="Calibri" w:hAnsi="Arial" w:cs="Arial"/>
          <w:sz w:val="20"/>
          <w:szCs w:val="20"/>
          <w:lang w:val="hr-HR" w:eastAsia="hr-HR"/>
        </w:rPr>
        <w:t xml:space="preserve"> nabavljena </w:t>
      </w:r>
      <w:proofErr w:type="spellStart"/>
      <w:r w:rsidR="00FC18CD" w:rsidRPr="00FC18CD">
        <w:rPr>
          <w:rFonts w:ascii="Arial" w:eastAsia="Calibri" w:hAnsi="Arial" w:cs="Arial"/>
          <w:sz w:val="20"/>
          <w:szCs w:val="20"/>
          <w:lang w:val="hr-HR" w:eastAsia="hr-HR"/>
        </w:rPr>
        <w:t>nap</w:t>
      </w:r>
      <w:r w:rsidR="00AA4864">
        <w:rPr>
          <w:rFonts w:ascii="Arial" w:eastAsia="Calibri" w:hAnsi="Arial" w:cs="Arial"/>
          <w:sz w:val="20"/>
          <w:szCs w:val="20"/>
          <w:lang w:val="hr-HR" w:eastAsia="hr-HR"/>
        </w:rPr>
        <w:t>a</w:t>
      </w:r>
      <w:proofErr w:type="spellEnd"/>
      <w:r w:rsidR="00FC18CD" w:rsidRPr="00FC18CD">
        <w:rPr>
          <w:rFonts w:ascii="Arial" w:eastAsia="Calibri" w:hAnsi="Arial" w:cs="Arial"/>
          <w:sz w:val="20"/>
          <w:szCs w:val="20"/>
          <w:lang w:val="hr-HR" w:eastAsia="hr-HR"/>
        </w:rPr>
        <w:t xml:space="preserve"> za odvod pare iz stroja za pranje suđa kako bi se mogao sanirati prostor </w:t>
      </w:r>
      <w:proofErr w:type="spellStart"/>
      <w:r w:rsidR="00FC18CD" w:rsidRPr="00FC18CD">
        <w:rPr>
          <w:rFonts w:ascii="Arial" w:eastAsia="Calibri" w:hAnsi="Arial" w:cs="Arial"/>
          <w:sz w:val="20"/>
          <w:szCs w:val="20"/>
          <w:lang w:val="hr-HR" w:eastAsia="hr-HR"/>
        </w:rPr>
        <w:t>praone</w:t>
      </w:r>
      <w:proofErr w:type="spellEnd"/>
      <w:r w:rsidR="00FC18CD" w:rsidRPr="00FC18CD">
        <w:rPr>
          <w:rFonts w:ascii="Arial" w:eastAsia="Calibri" w:hAnsi="Arial" w:cs="Arial"/>
          <w:sz w:val="20"/>
          <w:szCs w:val="20"/>
          <w:lang w:val="hr-HR" w:eastAsia="hr-HR"/>
        </w:rPr>
        <w:t xml:space="preserve"> posuđa u objektu Radost 1 </w:t>
      </w:r>
      <w:r w:rsidR="00FC18CD">
        <w:rPr>
          <w:rFonts w:ascii="Arial" w:eastAsia="Calibri" w:hAnsi="Arial" w:cs="Arial"/>
          <w:sz w:val="20"/>
          <w:szCs w:val="20"/>
          <w:lang w:val="hr-HR" w:eastAsia="hr-HR"/>
        </w:rPr>
        <w:t>te je o</w:t>
      </w:r>
      <w:r w:rsidR="00FC18CD" w:rsidRPr="00FC18CD">
        <w:rPr>
          <w:rFonts w:ascii="Arial" w:eastAsia="Calibri" w:hAnsi="Arial" w:cs="Arial"/>
          <w:sz w:val="20"/>
          <w:szCs w:val="20"/>
          <w:lang w:val="hr-HR" w:eastAsia="hr-HR"/>
        </w:rPr>
        <w:t>sim navedenog</w:t>
      </w:r>
      <w:r w:rsidR="00617E14">
        <w:rPr>
          <w:rFonts w:ascii="Arial" w:eastAsia="Calibri" w:hAnsi="Arial" w:cs="Arial"/>
          <w:sz w:val="20"/>
          <w:szCs w:val="20"/>
          <w:lang w:val="hr-HR" w:eastAsia="hr-HR"/>
        </w:rPr>
        <w:t>, bilo</w:t>
      </w:r>
      <w:r w:rsidR="00FC18CD" w:rsidRPr="00FC18CD">
        <w:rPr>
          <w:rFonts w:ascii="Arial" w:eastAsia="Calibri" w:hAnsi="Arial" w:cs="Arial"/>
          <w:sz w:val="20"/>
          <w:szCs w:val="20"/>
          <w:lang w:val="hr-HR" w:eastAsia="hr-HR"/>
        </w:rPr>
        <w:t xml:space="preserve"> potrebno zamijeniti </w:t>
      </w:r>
      <w:r w:rsidR="00997E89">
        <w:rPr>
          <w:rFonts w:ascii="Arial" w:eastAsia="Calibri" w:hAnsi="Arial" w:cs="Arial"/>
          <w:sz w:val="20"/>
          <w:szCs w:val="20"/>
          <w:lang w:val="hr-HR" w:eastAsia="hr-HR"/>
        </w:rPr>
        <w:t xml:space="preserve">dotrajalu profesionalnu </w:t>
      </w:r>
      <w:r w:rsidR="00FC18CD" w:rsidRPr="00FC18CD">
        <w:rPr>
          <w:rFonts w:ascii="Arial" w:eastAsia="Calibri" w:hAnsi="Arial" w:cs="Arial"/>
          <w:sz w:val="20"/>
          <w:szCs w:val="20"/>
          <w:lang w:val="hr-HR" w:eastAsia="hr-HR"/>
        </w:rPr>
        <w:t xml:space="preserve">sušilicu rublja, transportna kolica za prijevoz hrane i sl.    </w:t>
      </w:r>
    </w:p>
    <w:p w14:paraId="54C01B71" w14:textId="77777777" w:rsidR="0061318D" w:rsidRDefault="0061318D" w:rsidP="00204AC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hr-HR" w:eastAsia="hr-HR"/>
        </w:rPr>
      </w:pPr>
    </w:p>
    <w:p w14:paraId="68E9B1F6" w14:textId="77777777" w:rsidR="0061318D" w:rsidRPr="0061318D" w:rsidRDefault="0061318D" w:rsidP="00204AC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hr-HR" w:eastAsia="hr-HR"/>
        </w:rPr>
      </w:pPr>
    </w:p>
    <w:p w14:paraId="593414D7" w14:textId="6DCD78AD" w:rsidR="0061318D" w:rsidRPr="00766744" w:rsidRDefault="00204AC0" w:rsidP="00766744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8274F0">
        <w:rPr>
          <w:rFonts w:ascii="Arial" w:hAnsi="Arial" w:cs="Arial"/>
          <w:b/>
          <w:bCs/>
          <w:sz w:val="24"/>
          <w:szCs w:val="24"/>
        </w:rPr>
        <w:t>POSEBNI DIO</w:t>
      </w:r>
    </w:p>
    <w:p w14:paraId="3E10599E" w14:textId="77777777" w:rsidR="00F13C6C" w:rsidRPr="0061318D" w:rsidRDefault="00F13C6C" w:rsidP="0052792E">
      <w:pPr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>Program 3004 Predškolski odgoj podijeljen je na dvije aktivnosti; Aktivnost A300401 Dječji vrtić i jaslice i Aktivnost A300404 Razvoj inkluzivnog predškolskog modela.</w:t>
      </w:r>
      <w:r w:rsidR="00631D01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Sukladno Planu nabave, pozicije Financijskog plana praćene su</w:t>
      </w:r>
      <w:r w:rsidR="008C5D54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  <w:r w:rsidR="00631D01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po projektima.</w:t>
      </w:r>
    </w:p>
    <w:p w14:paraId="144AD040" w14:textId="6720A44F" w:rsidR="00C4656A" w:rsidRDefault="00C4656A" w:rsidP="0052792E">
      <w:pPr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C4656A">
        <w:rPr>
          <w:rFonts w:ascii="Arial" w:eastAsia="Calibri" w:hAnsi="Arial" w:cs="Arial"/>
          <w:sz w:val="20"/>
          <w:szCs w:val="20"/>
          <w:lang w:val="hr-HR" w:eastAsia="hr-HR"/>
        </w:rPr>
        <w:t xml:space="preserve">Aktivnost A300401 Dječji vrtić i jaslice obuhvaća prihode i rashode potrebne za održavanje redovnog desetosatnog programa vrtića i jaslica, alternativnog programa prema koncepciji Marie Montessori, zatim programa za darovitu djecu rane i predškolske dobi te programa </w:t>
      </w:r>
      <w:proofErr w:type="spellStart"/>
      <w:r w:rsidRPr="00C4656A">
        <w:rPr>
          <w:rFonts w:ascii="Arial" w:eastAsia="Calibri" w:hAnsi="Arial" w:cs="Arial"/>
          <w:sz w:val="20"/>
          <w:szCs w:val="20"/>
          <w:lang w:val="hr-HR" w:eastAsia="hr-HR"/>
        </w:rPr>
        <w:t>predškole</w:t>
      </w:r>
      <w:proofErr w:type="spellEnd"/>
      <w:r w:rsidRPr="00C4656A">
        <w:rPr>
          <w:rFonts w:ascii="Arial" w:eastAsia="Calibri" w:hAnsi="Arial" w:cs="Arial"/>
          <w:sz w:val="20"/>
          <w:szCs w:val="20"/>
          <w:lang w:val="hr-HR" w:eastAsia="hr-HR"/>
        </w:rPr>
        <w:t xml:space="preserve"> čija se provedba temelji na čl. 15 a Zakona o predškolskom odgoju i obrazovanju    (NN 10/97, 107/07, NN 94/13,98/19, 57/22).</w:t>
      </w:r>
    </w:p>
    <w:p w14:paraId="1523F687" w14:textId="77777777" w:rsidR="0052792E" w:rsidRPr="0061318D" w:rsidRDefault="0052792E" w:rsidP="0052792E">
      <w:pPr>
        <w:jc w:val="both"/>
        <w:rPr>
          <w:rFonts w:ascii="Arial" w:eastAsia="Calibri" w:hAnsi="Arial" w:cs="Arial"/>
          <w:sz w:val="20"/>
          <w:szCs w:val="20"/>
          <w:lang w:val="hr-HR" w:eastAsia="hr-HR"/>
        </w:rPr>
      </w:pP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U aktivnost A300404 Razvoj inkluzivnog predškolskog modela uključeni su prihodi i </w:t>
      </w:r>
      <w:r w:rsidR="00B33EF4" w:rsidRPr="0061318D">
        <w:rPr>
          <w:rFonts w:ascii="Arial" w:eastAsia="Calibri" w:hAnsi="Arial" w:cs="Arial"/>
          <w:sz w:val="20"/>
          <w:szCs w:val="20"/>
          <w:lang w:val="hr-HR" w:eastAsia="hr-HR"/>
        </w:rPr>
        <w:t>rashodi povezani s stručnim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usavršavanje</w:t>
      </w:r>
      <w:r w:rsidR="00B33EF4" w:rsidRPr="0061318D">
        <w:rPr>
          <w:rFonts w:ascii="Arial" w:eastAsia="Calibri" w:hAnsi="Arial" w:cs="Arial"/>
          <w:sz w:val="20"/>
          <w:szCs w:val="20"/>
          <w:lang w:val="hr-HR" w:eastAsia="hr-HR"/>
        </w:rPr>
        <w:t>m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djelatnika uključenih u rad s djecom s teškoćama te rashodi za materijal potreban u radu s djecom s teškoćama koji su financirani od strane Ministarstva znanosti i obrazovanja te rashodi pomoćnika za rad s djecom s teškoćama </w:t>
      </w:r>
      <w:r w:rsidR="00B33EF4" w:rsidRPr="0061318D">
        <w:rPr>
          <w:rFonts w:ascii="Arial" w:eastAsia="Calibri" w:hAnsi="Arial" w:cs="Arial"/>
          <w:sz w:val="20"/>
          <w:szCs w:val="20"/>
          <w:lang w:val="hr-HR" w:eastAsia="hr-HR"/>
        </w:rPr>
        <w:t>koje financira nadležni proračun.</w:t>
      </w:r>
    </w:p>
    <w:p w14:paraId="1FB55344" w14:textId="10ED95FF" w:rsidR="00B33EF4" w:rsidRPr="0061318D" w:rsidRDefault="008C5D54" w:rsidP="008C5D54">
      <w:pPr>
        <w:jc w:val="both"/>
        <w:rPr>
          <w:rFonts w:ascii="Arial" w:hAnsi="Arial" w:cs="Arial"/>
          <w:sz w:val="20"/>
          <w:szCs w:val="20"/>
        </w:rPr>
      </w:pP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>Provedbom p</w:t>
      </w:r>
      <w:r w:rsidR="00523D0A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rograma 3004 Predškolski odgoj 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ostvareni su ciljevi </w:t>
      </w:r>
      <w:r w:rsidR="00523D0A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povećanje stručnosti zaposlenika i materijalnih uvjeta rada, 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>prepoznavanja</w:t>
      </w:r>
      <w:r w:rsidR="00523D0A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potencijalno darovite djece i poticanje cjelovitog razvoja nj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>ihovih potencijala, osigurano je</w:t>
      </w:r>
      <w:r w:rsidR="00523D0A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svakom djetetu sudjelovanje u programu </w:t>
      </w:r>
      <w:proofErr w:type="spellStart"/>
      <w:r w:rsidR="00523D0A" w:rsidRPr="0061318D">
        <w:rPr>
          <w:rFonts w:ascii="Arial" w:eastAsia="Calibri" w:hAnsi="Arial" w:cs="Arial"/>
          <w:sz w:val="20"/>
          <w:szCs w:val="20"/>
          <w:lang w:val="hr-HR" w:eastAsia="hr-HR"/>
        </w:rPr>
        <w:t>predškole</w:t>
      </w:r>
      <w:proofErr w:type="spellEnd"/>
      <w:r w:rsidR="00523D0A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godinu dana prije </w:t>
      </w:r>
      <w:r w:rsidR="00523D0A" w:rsidRPr="0061318D">
        <w:rPr>
          <w:rFonts w:ascii="Arial" w:eastAsia="Calibri" w:hAnsi="Arial" w:cs="Arial"/>
          <w:sz w:val="20"/>
          <w:szCs w:val="20"/>
          <w:lang w:val="hr-HR" w:eastAsia="hr-HR"/>
        </w:rPr>
        <w:lastRenderedPageBreak/>
        <w:t xml:space="preserve">polaska u osnovnu školu, 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te </w:t>
      </w:r>
      <w:r w:rsidR="00766744">
        <w:rPr>
          <w:rFonts w:ascii="Arial" w:eastAsia="Calibri" w:hAnsi="Arial" w:cs="Arial"/>
          <w:sz w:val="20"/>
          <w:szCs w:val="20"/>
          <w:lang w:val="hr-HR" w:eastAsia="hr-HR"/>
        </w:rPr>
        <w:t>je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stvara</w:t>
      </w:r>
      <w:r w:rsidR="00766744">
        <w:rPr>
          <w:rFonts w:ascii="Arial" w:eastAsia="Calibri" w:hAnsi="Arial" w:cs="Arial"/>
          <w:sz w:val="20"/>
          <w:szCs w:val="20"/>
          <w:lang w:val="hr-HR" w:eastAsia="hr-HR"/>
        </w:rPr>
        <w:t>no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inkluzivno okruženje</w:t>
      </w:r>
      <w:r w:rsidR="00523D0A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za uključivanje djece s teškoć</w:t>
      </w:r>
      <w:r w:rsidR="00F13C6C" w:rsidRPr="0061318D">
        <w:rPr>
          <w:rFonts w:ascii="Arial" w:eastAsia="Calibri" w:hAnsi="Arial" w:cs="Arial"/>
          <w:sz w:val="20"/>
          <w:szCs w:val="20"/>
          <w:lang w:val="hr-HR" w:eastAsia="hr-HR"/>
        </w:rPr>
        <w:t>ama u razvoju u redovan program.</w:t>
      </w:r>
      <w:r w:rsidR="008807E2" w:rsidRPr="0061318D">
        <w:rPr>
          <w:rFonts w:ascii="Arial" w:hAnsi="Arial" w:cs="Arial"/>
          <w:sz w:val="20"/>
          <w:szCs w:val="20"/>
        </w:rPr>
        <w:t xml:space="preserve"> </w:t>
      </w:r>
      <w:r w:rsidR="00997E89" w:rsidRPr="00997E89">
        <w:rPr>
          <w:rFonts w:ascii="Arial" w:hAnsi="Arial" w:cs="Arial"/>
          <w:sz w:val="20"/>
          <w:szCs w:val="20"/>
        </w:rPr>
        <w:t xml:space="preserve">U </w:t>
      </w:r>
      <w:proofErr w:type="spellStart"/>
      <w:r w:rsidR="00997E89" w:rsidRPr="00997E89">
        <w:rPr>
          <w:rFonts w:ascii="Arial" w:hAnsi="Arial" w:cs="Arial"/>
          <w:sz w:val="20"/>
          <w:szCs w:val="20"/>
        </w:rPr>
        <w:t>redovni</w:t>
      </w:r>
      <w:proofErr w:type="spellEnd"/>
      <w:r w:rsidR="00997E89" w:rsidRPr="00997E89">
        <w:rPr>
          <w:rFonts w:ascii="Arial" w:hAnsi="Arial" w:cs="Arial"/>
          <w:sz w:val="20"/>
          <w:szCs w:val="20"/>
        </w:rPr>
        <w:t xml:space="preserve"> program </w:t>
      </w:r>
      <w:proofErr w:type="spellStart"/>
      <w:r w:rsidR="00997E89" w:rsidRPr="00997E89">
        <w:rPr>
          <w:rFonts w:ascii="Arial" w:hAnsi="Arial" w:cs="Arial"/>
          <w:sz w:val="20"/>
          <w:szCs w:val="20"/>
        </w:rPr>
        <w:t>integrirana</w:t>
      </w:r>
      <w:proofErr w:type="spellEnd"/>
      <w:r w:rsidR="00997E89" w:rsidRPr="00997E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7E89" w:rsidRPr="00997E89">
        <w:rPr>
          <w:rFonts w:ascii="Arial" w:hAnsi="Arial" w:cs="Arial"/>
          <w:sz w:val="20"/>
          <w:szCs w:val="20"/>
        </w:rPr>
        <w:t>su</w:t>
      </w:r>
      <w:proofErr w:type="spellEnd"/>
      <w:r w:rsidR="00997E89" w:rsidRPr="00997E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7E89" w:rsidRPr="00997E89">
        <w:rPr>
          <w:rFonts w:ascii="Arial" w:hAnsi="Arial" w:cs="Arial"/>
          <w:sz w:val="20"/>
          <w:szCs w:val="20"/>
        </w:rPr>
        <w:t>djeca</w:t>
      </w:r>
      <w:proofErr w:type="spellEnd"/>
      <w:r w:rsidR="00997E89" w:rsidRPr="00997E89">
        <w:rPr>
          <w:rFonts w:ascii="Arial" w:hAnsi="Arial" w:cs="Arial"/>
          <w:sz w:val="20"/>
          <w:szCs w:val="20"/>
        </w:rPr>
        <w:t xml:space="preserve"> s </w:t>
      </w:r>
      <w:proofErr w:type="spellStart"/>
      <w:r w:rsidR="00997E89" w:rsidRPr="00997E89">
        <w:rPr>
          <w:rFonts w:ascii="Arial" w:hAnsi="Arial" w:cs="Arial"/>
          <w:sz w:val="20"/>
          <w:szCs w:val="20"/>
        </w:rPr>
        <w:t>teškoćama</w:t>
      </w:r>
      <w:proofErr w:type="spellEnd"/>
      <w:r w:rsidR="00997E89" w:rsidRPr="00997E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7E89" w:rsidRPr="00997E89">
        <w:rPr>
          <w:rFonts w:ascii="Arial" w:hAnsi="Arial" w:cs="Arial"/>
          <w:sz w:val="20"/>
          <w:szCs w:val="20"/>
        </w:rPr>
        <w:t>od</w:t>
      </w:r>
      <w:proofErr w:type="spellEnd"/>
      <w:r w:rsidR="00997E89" w:rsidRPr="00997E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7E89" w:rsidRPr="00997E89">
        <w:rPr>
          <w:rFonts w:ascii="Arial" w:hAnsi="Arial" w:cs="Arial"/>
          <w:sz w:val="20"/>
          <w:szCs w:val="20"/>
        </w:rPr>
        <w:t>kojih</w:t>
      </w:r>
      <w:proofErr w:type="spellEnd"/>
      <w:r w:rsidR="00997E89" w:rsidRPr="00997E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7E89" w:rsidRPr="00997E89">
        <w:rPr>
          <w:rFonts w:ascii="Arial" w:hAnsi="Arial" w:cs="Arial"/>
          <w:sz w:val="20"/>
          <w:szCs w:val="20"/>
        </w:rPr>
        <w:t>desetero</w:t>
      </w:r>
      <w:proofErr w:type="spellEnd"/>
      <w:r w:rsidR="00997E89" w:rsidRPr="00997E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7E89" w:rsidRPr="00997E89">
        <w:rPr>
          <w:rFonts w:ascii="Arial" w:hAnsi="Arial" w:cs="Arial"/>
          <w:sz w:val="20"/>
          <w:szCs w:val="20"/>
        </w:rPr>
        <w:t>ima</w:t>
      </w:r>
      <w:proofErr w:type="spellEnd"/>
      <w:r w:rsidR="00997E89" w:rsidRPr="00997E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7E89" w:rsidRPr="00997E89">
        <w:rPr>
          <w:rFonts w:ascii="Arial" w:hAnsi="Arial" w:cs="Arial"/>
          <w:sz w:val="20"/>
          <w:szCs w:val="20"/>
        </w:rPr>
        <w:t>podršku</w:t>
      </w:r>
      <w:proofErr w:type="spellEnd"/>
      <w:r w:rsidR="00997E89" w:rsidRPr="00997E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7E89" w:rsidRPr="00997E89">
        <w:rPr>
          <w:rFonts w:ascii="Arial" w:hAnsi="Arial" w:cs="Arial"/>
          <w:sz w:val="20"/>
          <w:szCs w:val="20"/>
        </w:rPr>
        <w:t>pomoćnika</w:t>
      </w:r>
      <w:proofErr w:type="spellEnd"/>
      <w:r w:rsidR="00997E89" w:rsidRPr="00997E89">
        <w:rPr>
          <w:rFonts w:ascii="Arial" w:hAnsi="Arial" w:cs="Arial"/>
          <w:sz w:val="20"/>
          <w:szCs w:val="20"/>
        </w:rPr>
        <w:t>.</w:t>
      </w:r>
    </w:p>
    <w:p w14:paraId="0A48105A" w14:textId="5451A839" w:rsidR="008D6C84" w:rsidRDefault="008D6C84" w:rsidP="00C709E1">
      <w:pPr>
        <w:rPr>
          <w:rFonts w:ascii="Arial" w:eastAsia="Calibri" w:hAnsi="Arial" w:cs="Arial"/>
          <w:sz w:val="20"/>
          <w:szCs w:val="20"/>
          <w:lang w:val="hr-HR" w:eastAsia="hr-HR"/>
        </w:rPr>
      </w:pPr>
      <w:r w:rsidRPr="008D6C84">
        <w:rPr>
          <w:rFonts w:ascii="Arial" w:eastAsia="Calibri" w:hAnsi="Arial" w:cs="Arial"/>
          <w:sz w:val="20"/>
          <w:szCs w:val="20"/>
          <w:lang w:val="hr-HR" w:eastAsia="hr-HR"/>
        </w:rPr>
        <w:t xml:space="preserve">Cilj povećanja kvalitete i stručnosti zaposlenika, ostvaren je  sudjelovanjem  djelatnika na stručnim seminarima (uživo i on-line),  što je rezultiralo boljom kvalitetom usluge koju ustanova pruža. </w:t>
      </w:r>
    </w:p>
    <w:p w14:paraId="0EF2D473" w14:textId="77777777" w:rsidR="00B512F4" w:rsidRPr="00A44236" w:rsidRDefault="00B512F4" w:rsidP="00B512F4">
      <w:pPr>
        <w:rPr>
          <w:rFonts w:ascii="Arial" w:eastAsia="Calibri" w:hAnsi="Arial" w:cs="Arial"/>
          <w:b/>
          <w:sz w:val="20"/>
          <w:szCs w:val="20"/>
          <w:lang w:val="hr-HR" w:eastAsia="hr-HR"/>
        </w:rPr>
      </w:pPr>
      <w:r w:rsidRPr="00A44236">
        <w:rPr>
          <w:rFonts w:ascii="Arial" w:eastAsia="Calibri" w:hAnsi="Arial" w:cs="Arial"/>
          <w:b/>
          <w:sz w:val="20"/>
          <w:szCs w:val="20"/>
          <w:lang w:val="hr-HR" w:eastAsia="hr-HR"/>
        </w:rPr>
        <w:t>Financijski i nefinancijski ciljevi:</w:t>
      </w:r>
    </w:p>
    <w:p w14:paraId="14CD017E" w14:textId="77777777" w:rsidR="00B512F4" w:rsidRPr="0061318D" w:rsidRDefault="00B512F4" w:rsidP="00B512F4">
      <w:pPr>
        <w:rPr>
          <w:rFonts w:ascii="Arial" w:eastAsia="Calibri" w:hAnsi="Arial" w:cs="Arial"/>
          <w:sz w:val="20"/>
          <w:szCs w:val="20"/>
          <w:lang w:val="hr-HR" w:eastAsia="hr-HR"/>
        </w:rPr>
      </w:pP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Pokazatelj uspješnosti financijskih ciljeva su: </w:t>
      </w:r>
    </w:p>
    <w:p w14:paraId="17BEFDB7" w14:textId="7F35D2D2" w:rsidR="00177942" w:rsidRDefault="00177942" w:rsidP="00B512F4">
      <w:pPr>
        <w:rPr>
          <w:rFonts w:ascii="Arial" w:eastAsia="Calibri" w:hAnsi="Arial" w:cs="Arial"/>
          <w:sz w:val="20"/>
          <w:szCs w:val="20"/>
          <w:lang w:val="hr-HR" w:eastAsia="hr-HR"/>
        </w:rPr>
      </w:pPr>
      <w:r w:rsidRPr="00177942">
        <w:rPr>
          <w:rFonts w:ascii="Arial" w:eastAsia="Calibri" w:hAnsi="Arial" w:cs="Arial"/>
          <w:sz w:val="20"/>
          <w:szCs w:val="20"/>
          <w:lang w:val="hr-HR" w:eastAsia="hr-HR"/>
        </w:rPr>
        <w:t>-izvršenje  ukupnog plana prihoda s 4</w:t>
      </w:r>
      <w:r w:rsidR="00766744">
        <w:rPr>
          <w:rFonts w:ascii="Arial" w:eastAsia="Calibri" w:hAnsi="Arial" w:cs="Arial"/>
          <w:sz w:val="20"/>
          <w:szCs w:val="20"/>
          <w:lang w:val="hr-HR" w:eastAsia="hr-HR"/>
        </w:rPr>
        <w:t>9</w:t>
      </w:r>
      <w:r w:rsidRPr="00177942">
        <w:rPr>
          <w:rFonts w:ascii="Arial" w:eastAsia="Calibri" w:hAnsi="Arial" w:cs="Arial"/>
          <w:sz w:val="20"/>
          <w:szCs w:val="20"/>
          <w:lang w:val="hr-HR" w:eastAsia="hr-HR"/>
        </w:rPr>
        <w:t xml:space="preserve">%, </w:t>
      </w:r>
    </w:p>
    <w:p w14:paraId="389C90CA" w14:textId="0A6A2422" w:rsidR="00766744" w:rsidRPr="0061318D" w:rsidRDefault="00B512F4" w:rsidP="00B512F4">
      <w:pPr>
        <w:rPr>
          <w:rFonts w:ascii="Arial" w:eastAsia="Calibri" w:hAnsi="Arial" w:cs="Arial"/>
          <w:sz w:val="20"/>
          <w:szCs w:val="20"/>
          <w:lang w:val="hr-HR" w:eastAsia="hr-HR"/>
        </w:rPr>
      </w:pP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>-realizacija plana po</w:t>
      </w:r>
      <w:r w:rsidR="00573F4B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sljedećim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izvorima</w:t>
      </w:r>
      <w:r w:rsidR="00573F4B" w:rsidRPr="0061318D">
        <w:rPr>
          <w:rFonts w:ascii="Arial" w:eastAsia="Calibri" w:hAnsi="Arial" w:cs="Arial"/>
          <w:sz w:val="20"/>
          <w:szCs w:val="20"/>
          <w:lang w:val="hr-HR" w:eastAsia="hr-HR"/>
        </w:rPr>
        <w:t>;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</w:t>
      </w:r>
    </w:p>
    <w:p w14:paraId="596F4A65" w14:textId="053928F1" w:rsidR="00B512F4" w:rsidRPr="00A174AA" w:rsidRDefault="00BB69F8" w:rsidP="00B512F4">
      <w:pPr>
        <w:rPr>
          <w:rFonts w:ascii="Arial" w:eastAsia="Calibri" w:hAnsi="Arial" w:cs="Arial"/>
          <w:sz w:val="24"/>
          <w:szCs w:val="24"/>
          <w:lang w:val="hr-HR" w:eastAsia="hr-HR"/>
        </w:rPr>
      </w:pPr>
      <w:r w:rsidRPr="00BB69F8">
        <w:rPr>
          <w:noProof/>
        </w:rPr>
        <w:drawing>
          <wp:inline distT="0" distB="0" distL="0" distR="0" wp14:anchorId="27873A4A" wp14:editId="7BBBC0FD">
            <wp:extent cx="3970020" cy="6056634"/>
            <wp:effectExtent l="0" t="0" r="0" b="0"/>
            <wp:docPr id="121003754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182" cy="6090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34619" w14:textId="77777777" w:rsidR="00766744" w:rsidRDefault="00766744" w:rsidP="00B512F4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2B137A60" w14:textId="5C72D2E7" w:rsidR="00766744" w:rsidRDefault="003D352F" w:rsidP="00B512F4">
      <w:pPr>
        <w:rPr>
          <w:rFonts w:ascii="Arial" w:eastAsia="Calibri" w:hAnsi="Arial" w:cs="Arial"/>
          <w:sz w:val="20"/>
          <w:szCs w:val="20"/>
          <w:lang w:val="hr-HR" w:eastAsia="hr-HR"/>
        </w:rPr>
      </w:pPr>
      <w:r w:rsidRPr="003D352F">
        <w:rPr>
          <w:rFonts w:ascii="Arial" w:eastAsia="Calibri" w:hAnsi="Arial" w:cs="Arial"/>
          <w:sz w:val="20"/>
          <w:szCs w:val="20"/>
          <w:lang w:val="hr-HR" w:eastAsia="hr-HR"/>
        </w:rPr>
        <w:lastRenderedPageBreak/>
        <w:t>-pokriće troškova te ulaganje u kadrove, prostor i opremu.</w:t>
      </w:r>
    </w:p>
    <w:p w14:paraId="34D08C68" w14:textId="221B3336" w:rsidR="00B512F4" w:rsidRPr="0061318D" w:rsidRDefault="00B512F4" w:rsidP="00B512F4">
      <w:pPr>
        <w:rPr>
          <w:rFonts w:ascii="Arial" w:eastAsia="Calibri" w:hAnsi="Arial" w:cs="Arial"/>
          <w:sz w:val="20"/>
          <w:szCs w:val="20"/>
          <w:lang w:val="hr-HR" w:eastAsia="hr-HR"/>
        </w:rPr>
      </w:pP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Pokazatelj uspješnosti nefinancijskih ciljeva su: kvaliteta odgojno obrazovnog rada,  </w:t>
      </w:r>
      <w:r w:rsidR="00573F4B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praćenje potreba korisnika, iskorištenost kapaciteta, </w:t>
      </w:r>
      <w:r w:rsidRPr="0061318D">
        <w:rPr>
          <w:rFonts w:ascii="Arial" w:eastAsia="Calibri" w:hAnsi="Arial" w:cs="Arial"/>
          <w:sz w:val="20"/>
          <w:szCs w:val="20"/>
          <w:lang w:val="hr-HR" w:eastAsia="hr-HR"/>
        </w:rPr>
        <w:t>valorizacija proce</w:t>
      </w:r>
      <w:r w:rsidR="00573F4B" w:rsidRPr="0061318D">
        <w:rPr>
          <w:rFonts w:ascii="Arial" w:eastAsia="Calibri" w:hAnsi="Arial" w:cs="Arial"/>
          <w:sz w:val="20"/>
          <w:szCs w:val="20"/>
          <w:lang w:val="hr-HR" w:eastAsia="hr-HR"/>
        </w:rPr>
        <w:t>sa i programa</w:t>
      </w:r>
      <w:r w:rsidR="003D352F">
        <w:rPr>
          <w:rFonts w:ascii="Arial" w:eastAsia="Calibri" w:hAnsi="Arial" w:cs="Arial"/>
          <w:sz w:val="20"/>
          <w:szCs w:val="20"/>
          <w:lang w:val="hr-HR" w:eastAsia="hr-HR"/>
        </w:rPr>
        <w:t xml:space="preserve"> te</w:t>
      </w:r>
      <w:r w:rsidR="00573F4B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 učinkovitost.</w:t>
      </w:r>
    </w:p>
    <w:p w14:paraId="3FA736F1" w14:textId="77777777" w:rsidR="00C709E1" w:rsidRPr="0061318D" w:rsidRDefault="00C709E1" w:rsidP="00C709E1">
      <w:pPr>
        <w:rPr>
          <w:rFonts w:ascii="Arial" w:eastAsia="Calibri" w:hAnsi="Arial" w:cs="Arial"/>
          <w:color w:val="FF0000"/>
          <w:sz w:val="20"/>
          <w:szCs w:val="20"/>
          <w:lang w:val="hr-HR" w:eastAsia="hr-HR"/>
        </w:rPr>
      </w:pPr>
    </w:p>
    <w:p w14:paraId="0CF38822" w14:textId="0BAD773B" w:rsidR="008E5F86" w:rsidRPr="0061318D" w:rsidRDefault="00A174AA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hr-HR" w:eastAsia="hr-HR"/>
        </w:rPr>
        <w:t xml:space="preserve">U Jastrebarskom, </w:t>
      </w:r>
      <w:r w:rsidR="00452D2D">
        <w:rPr>
          <w:rFonts w:ascii="Arial" w:eastAsia="Calibri" w:hAnsi="Arial" w:cs="Arial"/>
          <w:sz w:val="20"/>
          <w:szCs w:val="20"/>
          <w:lang w:val="hr-HR" w:eastAsia="hr-HR"/>
        </w:rPr>
        <w:t>07</w:t>
      </w:r>
      <w:r>
        <w:rPr>
          <w:rFonts w:ascii="Arial" w:eastAsia="Calibri" w:hAnsi="Arial" w:cs="Arial"/>
          <w:sz w:val="20"/>
          <w:szCs w:val="20"/>
          <w:lang w:val="hr-HR" w:eastAsia="hr-HR"/>
        </w:rPr>
        <w:t>.07</w:t>
      </w:r>
      <w:r w:rsidR="008E5F86" w:rsidRPr="0061318D">
        <w:rPr>
          <w:rFonts w:ascii="Arial" w:eastAsia="Calibri" w:hAnsi="Arial" w:cs="Arial"/>
          <w:sz w:val="20"/>
          <w:szCs w:val="20"/>
          <w:lang w:val="hr-HR" w:eastAsia="hr-HR"/>
        </w:rPr>
        <w:t>.202</w:t>
      </w:r>
      <w:r w:rsidR="00C85D0E">
        <w:rPr>
          <w:rFonts w:ascii="Arial" w:eastAsia="Calibri" w:hAnsi="Arial" w:cs="Arial"/>
          <w:sz w:val="20"/>
          <w:szCs w:val="20"/>
          <w:lang w:val="hr-HR" w:eastAsia="hr-HR"/>
        </w:rPr>
        <w:t>3</w:t>
      </w:r>
      <w:r w:rsidR="008E5F86" w:rsidRPr="0061318D">
        <w:rPr>
          <w:rFonts w:ascii="Arial" w:eastAsia="Calibri" w:hAnsi="Arial" w:cs="Arial"/>
          <w:sz w:val="20"/>
          <w:szCs w:val="20"/>
          <w:lang w:val="hr-HR" w:eastAsia="hr-HR"/>
        </w:rPr>
        <w:t xml:space="preserve">. </w:t>
      </w:r>
    </w:p>
    <w:p w14:paraId="75BA25E3" w14:textId="77777777" w:rsidR="008E5F86" w:rsidRPr="0061318D" w:rsidRDefault="008E5F86" w:rsidP="008E5F86">
      <w:pPr>
        <w:jc w:val="right"/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014C75BF" w14:textId="77777777" w:rsidR="008E5F86" w:rsidRPr="0061318D" w:rsidRDefault="008E5F86" w:rsidP="00F51B8A">
      <w:pPr>
        <w:pStyle w:val="Bezproreda"/>
        <w:jc w:val="right"/>
        <w:rPr>
          <w:rFonts w:ascii="Arial" w:hAnsi="Arial" w:cs="Arial"/>
          <w:sz w:val="20"/>
          <w:szCs w:val="20"/>
          <w:lang w:val="hr-HR" w:eastAsia="hr-HR"/>
        </w:rPr>
      </w:pPr>
      <w:r w:rsidRPr="0061318D">
        <w:rPr>
          <w:rFonts w:ascii="Arial" w:hAnsi="Arial" w:cs="Arial"/>
          <w:sz w:val="20"/>
          <w:szCs w:val="20"/>
          <w:lang w:val="hr-HR" w:eastAsia="hr-HR"/>
        </w:rPr>
        <w:t>Ravnateljica</w:t>
      </w:r>
    </w:p>
    <w:p w14:paraId="6D4DD2A9" w14:textId="74E5608D" w:rsidR="008E5F86" w:rsidRDefault="00A174AA" w:rsidP="00F51B8A">
      <w:pPr>
        <w:pStyle w:val="Bezproreda"/>
        <w:jc w:val="right"/>
        <w:rPr>
          <w:rFonts w:ascii="Arial" w:hAnsi="Arial" w:cs="Arial"/>
          <w:sz w:val="20"/>
          <w:szCs w:val="20"/>
          <w:lang w:val="hr-HR" w:eastAsia="hr-HR"/>
        </w:rPr>
      </w:pPr>
      <w:proofErr w:type="spellStart"/>
      <w:r>
        <w:rPr>
          <w:rFonts w:ascii="Arial" w:hAnsi="Arial" w:cs="Arial"/>
          <w:sz w:val="20"/>
          <w:szCs w:val="20"/>
          <w:lang w:val="hr-HR" w:eastAsia="hr-HR"/>
        </w:rPr>
        <w:t>dr.sc.Jadranka</w:t>
      </w:r>
      <w:proofErr w:type="spellEnd"/>
      <w:r>
        <w:rPr>
          <w:rFonts w:ascii="Arial" w:hAnsi="Arial" w:cs="Arial"/>
          <w:sz w:val="20"/>
          <w:szCs w:val="20"/>
          <w:lang w:val="hr-HR" w:eastAsia="hr-HR"/>
        </w:rPr>
        <w:t xml:space="preserve"> Stojković</w:t>
      </w:r>
    </w:p>
    <w:p w14:paraId="1EB5ED7F" w14:textId="77777777" w:rsidR="00452D2D" w:rsidRDefault="00452D2D" w:rsidP="00452D2D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4464E6BF" w14:textId="3107560B" w:rsidR="00452D2D" w:rsidRPr="001A52E0" w:rsidRDefault="00452D2D" w:rsidP="00452D2D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  <w:r w:rsidRPr="001A52E0">
        <w:rPr>
          <w:rFonts w:ascii="Arial" w:hAnsi="Arial" w:cs="Arial"/>
          <w:b/>
          <w:sz w:val="20"/>
          <w:szCs w:val="20"/>
          <w:lang w:val="hr-HR" w:eastAsia="hr-HR"/>
        </w:rPr>
        <w:t>KLASA:</w:t>
      </w:r>
      <w:r w:rsidR="00C51DE1">
        <w:rPr>
          <w:rFonts w:ascii="Arial" w:hAnsi="Arial" w:cs="Arial"/>
          <w:b/>
          <w:sz w:val="20"/>
          <w:szCs w:val="20"/>
          <w:lang w:val="hr-HR" w:eastAsia="hr-HR"/>
        </w:rPr>
        <w:t xml:space="preserve"> 400-03/23-01/03</w:t>
      </w:r>
    </w:p>
    <w:p w14:paraId="6DF4FD68" w14:textId="5EF4A63C" w:rsidR="00452D2D" w:rsidRPr="001A52E0" w:rsidRDefault="00452D2D" w:rsidP="00452D2D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  <w:r w:rsidRPr="001A52E0">
        <w:rPr>
          <w:rFonts w:ascii="Arial" w:hAnsi="Arial" w:cs="Arial"/>
          <w:b/>
          <w:sz w:val="20"/>
          <w:szCs w:val="20"/>
          <w:lang w:val="hr-HR" w:eastAsia="hr-HR"/>
        </w:rPr>
        <w:t>URBROJ:</w:t>
      </w:r>
      <w:r w:rsidR="00C51DE1">
        <w:rPr>
          <w:rFonts w:ascii="Arial" w:hAnsi="Arial" w:cs="Arial"/>
          <w:b/>
          <w:sz w:val="20"/>
          <w:szCs w:val="20"/>
          <w:lang w:val="hr-HR" w:eastAsia="hr-HR"/>
        </w:rPr>
        <w:t>238-12-66-04-23-01</w:t>
      </w:r>
    </w:p>
    <w:p w14:paraId="5D979907" w14:textId="4BB66756" w:rsidR="008E5F86" w:rsidRDefault="008E5F86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2FA727B5" w14:textId="3AAB1FF3" w:rsidR="00452D2D" w:rsidRDefault="00452D2D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51F574E8" w14:textId="5092DAFF" w:rsidR="00452D2D" w:rsidRDefault="00452D2D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2CE84600" w14:textId="40E1338F" w:rsidR="00452D2D" w:rsidRDefault="00452D2D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1A83CD71" w14:textId="4D6D2F62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70BF9971" w14:textId="016E71E6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05144320" w14:textId="755FC970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76BFB678" w14:textId="33C80006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1AB5A559" w14:textId="4594FF87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001BC0BA" w14:textId="43BD5B83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526C966B" w14:textId="2AD36954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0B7C88EC" w14:textId="439D6B33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0926567A" w14:textId="1ED03CB8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35B633BD" w14:textId="29EBABC9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5129F47E" w14:textId="519561A3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6ACF7837" w14:textId="3443B331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243E3725" w14:textId="01D63FD7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135BD3D4" w14:textId="44DA32C0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01D9CC37" w14:textId="1B7C1301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01F1C99D" w14:textId="33D031A6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550D8E30" w14:textId="0414B2F7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292253F2" w14:textId="08886C2C" w:rsidR="008274F0" w:rsidRDefault="008274F0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74AA8762" w14:textId="77777777" w:rsidR="003D352F" w:rsidRPr="0061318D" w:rsidRDefault="003D352F" w:rsidP="008E5F86">
      <w:pPr>
        <w:rPr>
          <w:rFonts w:ascii="Arial" w:eastAsia="Calibri" w:hAnsi="Arial" w:cs="Arial"/>
          <w:sz w:val="20"/>
          <w:szCs w:val="20"/>
          <w:lang w:val="hr-HR" w:eastAsia="hr-HR"/>
        </w:rPr>
      </w:pPr>
    </w:p>
    <w:p w14:paraId="3B8A6E62" w14:textId="77777777" w:rsidR="00D341EB" w:rsidRDefault="00D341EB" w:rsidP="00F51B8A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48B97553" w14:textId="77777777" w:rsidR="00D341EB" w:rsidRPr="00D341EB" w:rsidRDefault="00D341EB" w:rsidP="00D341EB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  <w:r w:rsidRPr="00D341EB">
        <w:rPr>
          <w:rFonts w:ascii="Arial" w:hAnsi="Arial" w:cs="Arial"/>
          <w:b/>
          <w:sz w:val="20"/>
          <w:szCs w:val="20"/>
          <w:lang w:val="hr-HR" w:eastAsia="hr-HR"/>
        </w:rPr>
        <w:t>DJEČJI VRTIĆ RADOST</w:t>
      </w:r>
    </w:p>
    <w:p w14:paraId="0DD6D52F" w14:textId="77777777" w:rsidR="00D341EB" w:rsidRPr="00D341EB" w:rsidRDefault="00D341EB" w:rsidP="00D341EB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  <w:r w:rsidRPr="00D341EB">
        <w:rPr>
          <w:rFonts w:ascii="Arial" w:hAnsi="Arial" w:cs="Arial"/>
          <w:b/>
          <w:sz w:val="20"/>
          <w:szCs w:val="20"/>
          <w:lang w:val="hr-HR" w:eastAsia="hr-HR"/>
        </w:rPr>
        <w:t>JASTREBARSKO</w:t>
      </w:r>
    </w:p>
    <w:p w14:paraId="05BD325C" w14:textId="77777777" w:rsidR="00D341EB" w:rsidRPr="00D341EB" w:rsidRDefault="00D341EB" w:rsidP="00D341EB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  <w:r w:rsidRPr="00D341EB">
        <w:rPr>
          <w:rFonts w:ascii="Arial" w:hAnsi="Arial" w:cs="Arial"/>
          <w:b/>
          <w:sz w:val="20"/>
          <w:szCs w:val="20"/>
          <w:lang w:val="hr-HR" w:eastAsia="hr-HR"/>
        </w:rPr>
        <w:t>BRAĆE RADIĆ 10</w:t>
      </w:r>
    </w:p>
    <w:p w14:paraId="4641B56F" w14:textId="4413EEA1" w:rsidR="00D341EB" w:rsidRPr="00D341EB" w:rsidRDefault="00D341EB" w:rsidP="00D341EB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  <w:r w:rsidRPr="00D341EB">
        <w:rPr>
          <w:rFonts w:ascii="Arial" w:hAnsi="Arial" w:cs="Arial"/>
          <w:b/>
          <w:sz w:val="20"/>
          <w:szCs w:val="20"/>
          <w:lang w:val="hr-HR" w:eastAsia="hr-HR"/>
        </w:rPr>
        <w:t>KLASA:</w:t>
      </w:r>
    </w:p>
    <w:p w14:paraId="61DA3E23" w14:textId="2E0ED91C" w:rsidR="00D341EB" w:rsidRDefault="00D341EB" w:rsidP="00D341EB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  <w:r w:rsidRPr="00D341EB">
        <w:rPr>
          <w:rFonts w:ascii="Arial" w:hAnsi="Arial" w:cs="Arial"/>
          <w:b/>
          <w:sz w:val="20"/>
          <w:szCs w:val="20"/>
          <w:lang w:val="hr-HR" w:eastAsia="hr-HR"/>
        </w:rPr>
        <w:t>URBROJ:</w:t>
      </w:r>
    </w:p>
    <w:p w14:paraId="0AABD254" w14:textId="7CB09B1B" w:rsidR="00370B64" w:rsidRDefault="00370B64" w:rsidP="00D341EB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</w:p>
    <w:p w14:paraId="1E3B5CA9" w14:textId="77777777" w:rsidR="00370B64" w:rsidRPr="00D341EB" w:rsidRDefault="00370B64" w:rsidP="00D341EB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</w:p>
    <w:p w14:paraId="0C8EA440" w14:textId="2C342189" w:rsidR="00D341EB" w:rsidRDefault="00D341EB" w:rsidP="00D341EB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  <w:r w:rsidRPr="001A52E0">
        <w:rPr>
          <w:rFonts w:ascii="Arial" w:hAnsi="Arial" w:cs="Arial"/>
          <w:b/>
          <w:sz w:val="20"/>
          <w:szCs w:val="20"/>
          <w:lang w:val="hr-HR" w:eastAsia="hr-HR"/>
        </w:rPr>
        <w:t xml:space="preserve">U Jastrebarskom, </w:t>
      </w:r>
      <w:r w:rsidR="00452D2D">
        <w:rPr>
          <w:rFonts w:ascii="Arial" w:hAnsi="Arial" w:cs="Arial"/>
          <w:b/>
          <w:sz w:val="20"/>
          <w:szCs w:val="20"/>
          <w:lang w:val="hr-HR" w:eastAsia="hr-HR"/>
        </w:rPr>
        <w:t>07</w:t>
      </w:r>
      <w:r w:rsidRPr="001A52E0">
        <w:rPr>
          <w:rFonts w:ascii="Arial" w:hAnsi="Arial" w:cs="Arial"/>
          <w:b/>
          <w:sz w:val="20"/>
          <w:szCs w:val="20"/>
          <w:lang w:val="hr-HR" w:eastAsia="hr-HR"/>
        </w:rPr>
        <w:t>.07.202</w:t>
      </w:r>
      <w:r w:rsidR="00452D2D">
        <w:rPr>
          <w:rFonts w:ascii="Arial" w:hAnsi="Arial" w:cs="Arial"/>
          <w:b/>
          <w:sz w:val="20"/>
          <w:szCs w:val="20"/>
          <w:lang w:val="hr-HR" w:eastAsia="hr-HR"/>
        </w:rPr>
        <w:t>3</w:t>
      </w:r>
      <w:r w:rsidRPr="001A52E0">
        <w:rPr>
          <w:rFonts w:ascii="Arial" w:hAnsi="Arial" w:cs="Arial"/>
          <w:b/>
          <w:sz w:val="20"/>
          <w:szCs w:val="20"/>
          <w:lang w:val="hr-HR" w:eastAsia="hr-HR"/>
        </w:rPr>
        <w:t>.</w:t>
      </w:r>
    </w:p>
    <w:p w14:paraId="66F76041" w14:textId="3B349580" w:rsidR="00370B64" w:rsidRDefault="00370B64" w:rsidP="00D341EB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</w:p>
    <w:p w14:paraId="6B581AF3" w14:textId="77777777" w:rsidR="00370B64" w:rsidRPr="001A52E0" w:rsidRDefault="00370B64" w:rsidP="00D341EB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</w:p>
    <w:p w14:paraId="573FF56E" w14:textId="77777777" w:rsidR="00D341EB" w:rsidRPr="00D341EB" w:rsidRDefault="00D341EB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4BB7500E" w14:textId="5105B75A" w:rsidR="00D341EB" w:rsidRPr="00D341EB" w:rsidRDefault="00D341EB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  <w:r w:rsidRPr="00D341EB">
        <w:rPr>
          <w:rFonts w:ascii="Arial" w:hAnsi="Arial" w:cs="Arial"/>
          <w:sz w:val="20"/>
          <w:szCs w:val="20"/>
          <w:lang w:val="hr-HR" w:eastAsia="hr-HR"/>
        </w:rPr>
        <w:t>Sukladno odredbi članka 76. i 85. Zakona o proračunu (Narodne novine br.144/2021) i članka  12. stavak 2. Pravilnika o polugodišnjem i godišnjem izvještaju o izvršenju proračuna (Narodne novine br.14/13 i 102/17 i 1/20) dostavljamo Vam slijedeće obrazloženje za prvo polugodište 202</w:t>
      </w:r>
      <w:r w:rsidR="00370B64">
        <w:rPr>
          <w:rFonts w:ascii="Arial" w:hAnsi="Arial" w:cs="Arial"/>
          <w:sz w:val="20"/>
          <w:szCs w:val="20"/>
          <w:lang w:val="hr-HR" w:eastAsia="hr-HR"/>
        </w:rPr>
        <w:t>3</w:t>
      </w:r>
      <w:r w:rsidRPr="00D341EB">
        <w:rPr>
          <w:rFonts w:ascii="Arial" w:hAnsi="Arial" w:cs="Arial"/>
          <w:sz w:val="20"/>
          <w:szCs w:val="20"/>
          <w:lang w:val="hr-HR" w:eastAsia="hr-HR"/>
        </w:rPr>
        <w:t xml:space="preserve">. godine: </w:t>
      </w:r>
    </w:p>
    <w:p w14:paraId="528713C8" w14:textId="77777777" w:rsidR="00D341EB" w:rsidRPr="00D341EB" w:rsidRDefault="00D341EB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230ED2AC" w14:textId="77777777" w:rsidR="00D341EB" w:rsidRPr="00D341EB" w:rsidRDefault="00D341EB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0AB4E35C" w14:textId="40E5A53D" w:rsidR="00D341EB" w:rsidRPr="00370B64" w:rsidRDefault="00D341EB" w:rsidP="00370B64">
      <w:pPr>
        <w:pStyle w:val="Bezproreda"/>
        <w:jc w:val="center"/>
        <w:rPr>
          <w:rFonts w:ascii="Arial" w:hAnsi="Arial" w:cs="Arial"/>
          <w:b/>
          <w:sz w:val="28"/>
          <w:szCs w:val="28"/>
          <w:lang w:val="hr-HR" w:eastAsia="hr-HR"/>
        </w:rPr>
      </w:pPr>
      <w:r w:rsidRPr="00370B64">
        <w:rPr>
          <w:rFonts w:ascii="Arial" w:hAnsi="Arial" w:cs="Arial"/>
          <w:b/>
          <w:sz w:val="28"/>
          <w:szCs w:val="28"/>
          <w:lang w:val="hr-HR" w:eastAsia="hr-HR"/>
        </w:rPr>
        <w:t>POSEBNI IZVJEŠTAJ U POLUGODIŠNJEM IZVJEŠTAJU O IZVRŠENJU FINANCIJSKOG PLANA DJEČJEG VRTIĆA RADOST ZA 202</w:t>
      </w:r>
      <w:r w:rsidR="00370B64">
        <w:rPr>
          <w:rFonts w:ascii="Arial" w:hAnsi="Arial" w:cs="Arial"/>
          <w:b/>
          <w:sz w:val="28"/>
          <w:szCs w:val="28"/>
          <w:lang w:val="hr-HR" w:eastAsia="hr-HR"/>
        </w:rPr>
        <w:t>3</w:t>
      </w:r>
      <w:r w:rsidRPr="00370B64">
        <w:rPr>
          <w:rFonts w:ascii="Arial" w:hAnsi="Arial" w:cs="Arial"/>
          <w:b/>
          <w:sz w:val="28"/>
          <w:szCs w:val="28"/>
          <w:lang w:val="hr-HR" w:eastAsia="hr-HR"/>
        </w:rPr>
        <w:t>. GODINU</w:t>
      </w:r>
    </w:p>
    <w:p w14:paraId="5882EFDA" w14:textId="77777777" w:rsidR="00D341EB" w:rsidRPr="00D341EB" w:rsidRDefault="00D341EB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32385736" w14:textId="77777777" w:rsidR="00D341EB" w:rsidRPr="00D341EB" w:rsidRDefault="00D341EB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3676845D" w14:textId="05AFAB6D" w:rsidR="00D341EB" w:rsidRDefault="00D341EB" w:rsidP="00625FBA">
      <w:pPr>
        <w:pStyle w:val="Bezproreda"/>
        <w:numPr>
          <w:ilvl w:val="0"/>
          <w:numId w:val="3"/>
        </w:numPr>
        <w:rPr>
          <w:rFonts w:ascii="Arial" w:hAnsi="Arial" w:cs="Arial"/>
          <w:b/>
          <w:sz w:val="20"/>
          <w:szCs w:val="20"/>
          <w:lang w:val="hr-HR" w:eastAsia="hr-HR"/>
        </w:rPr>
      </w:pPr>
      <w:r w:rsidRPr="00D341EB">
        <w:rPr>
          <w:rFonts w:ascii="Arial" w:hAnsi="Arial" w:cs="Arial"/>
          <w:b/>
          <w:sz w:val="20"/>
          <w:szCs w:val="20"/>
          <w:lang w:val="hr-HR" w:eastAsia="hr-HR"/>
        </w:rPr>
        <w:t xml:space="preserve">Stanje nenaplaćenih potraživanja za prihode iznosi </w:t>
      </w:r>
      <w:r w:rsidR="00625FBA">
        <w:rPr>
          <w:rFonts w:ascii="Arial" w:hAnsi="Arial" w:cs="Arial"/>
          <w:b/>
          <w:sz w:val="20"/>
          <w:szCs w:val="20"/>
          <w:lang w:val="hr-HR" w:eastAsia="hr-HR"/>
        </w:rPr>
        <w:t>12.426,56 EUR</w:t>
      </w:r>
      <w:r w:rsidRPr="00D341EB">
        <w:rPr>
          <w:rFonts w:ascii="Arial" w:hAnsi="Arial" w:cs="Arial"/>
          <w:b/>
          <w:sz w:val="20"/>
          <w:szCs w:val="20"/>
          <w:lang w:val="hr-HR" w:eastAsia="hr-HR"/>
        </w:rPr>
        <w:t>.</w:t>
      </w:r>
    </w:p>
    <w:p w14:paraId="2405D8BF" w14:textId="77777777" w:rsidR="00625FBA" w:rsidRPr="00D341EB" w:rsidRDefault="00625FBA" w:rsidP="00625FBA">
      <w:pPr>
        <w:pStyle w:val="Bezproreda"/>
        <w:ind w:left="1080"/>
        <w:rPr>
          <w:rFonts w:ascii="Arial" w:hAnsi="Arial" w:cs="Arial"/>
          <w:b/>
          <w:sz w:val="20"/>
          <w:szCs w:val="20"/>
          <w:lang w:val="hr-HR" w:eastAsia="hr-HR"/>
        </w:rPr>
      </w:pPr>
    </w:p>
    <w:p w14:paraId="7BC0C424" w14:textId="20E583EB" w:rsidR="00D341EB" w:rsidRDefault="00D341EB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  <w:r w:rsidRPr="00D341EB">
        <w:rPr>
          <w:rFonts w:ascii="Arial" w:hAnsi="Arial" w:cs="Arial"/>
          <w:sz w:val="20"/>
          <w:szCs w:val="20"/>
          <w:lang w:val="hr-HR" w:eastAsia="hr-HR"/>
        </w:rPr>
        <w:t xml:space="preserve">- Ostali nespomenuti prihodi za prihode od roditelja za redovni program (konto 16526) iznosi </w:t>
      </w:r>
      <w:r w:rsidR="00625FBA">
        <w:rPr>
          <w:rFonts w:ascii="Arial" w:hAnsi="Arial" w:cs="Arial"/>
          <w:sz w:val="20"/>
          <w:szCs w:val="20"/>
          <w:lang w:val="hr-HR" w:eastAsia="hr-HR"/>
        </w:rPr>
        <w:t>21.441,97 EUR</w:t>
      </w:r>
      <w:r w:rsidRPr="00D341EB">
        <w:rPr>
          <w:rFonts w:ascii="Arial" w:hAnsi="Arial" w:cs="Arial"/>
          <w:sz w:val="20"/>
          <w:szCs w:val="20"/>
          <w:lang w:val="hr-HR" w:eastAsia="hr-HR"/>
        </w:rPr>
        <w:t>.</w:t>
      </w:r>
    </w:p>
    <w:p w14:paraId="3F355761" w14:textId="77777777" w:rsidR="00625FBA" w:rsidRPr="00D341EB" w:rsidRDefault="00625FBA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60768C0F" w14:textId="7FF3E4E2" w:rsidR="00D341EB" w:rsidRDefault="00D341EB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  <w:r w:rsidRPr="00D341EB">
        <w:rPr>
          <w:rFonts w:ascii="Arial" w:hAnsi="Arial" w:cs="Arial"/>
          <w:sz w:val="20"/>
          <w:szCs w:val="20"/>
          <w:lang w:val="hr-HR" w:eastAsia="hr-HR"/>
        </w:rPr>
        <w:t>-Potraživanja za prihode od pruženih usluga</w:t>
      </w:r>
      <w:r w:rsidR="00625FBA">
        <w:rPr>
          <w:rFonts w:ascii="Arial" w:hAnsi="Arial" w:cs="Arial"/>
          <w:sz w:val="20"/>
          <w:szCs w:val="20"/>
          <w:lang w:val="hr-HR" w:eastAsia="hr-HR"/>
        </w:rPr>
        <w:t xml:space="preserve"> za</w:t>
      </w:r>
      <w:r w:rsidRPr="00D341EB">
        <w:rPr>
          <w:rFonts w:ascii="Arial" w:hAnsi="Arial" w:cs="Arial"/>
          <w:sz w:val="20"/>
          <w:szCs w:val="20"/>
          <w:lang w:val="hr-HR" w:eastAsia="hr-HR"/>
        </w:rPr>
        <w:t xml:space="preserve"> englesku igraon</w:t>
      </w:r>
      <w:r w:rsidR="00FA539A">
        <w:rPr>
          <w:rFonts w:ascii="Arial" w:hAnsi="Arial" w:cs="Arial"/>
          <w:sz w:val="20"/>
          <w:szCs w:val="20"/>
          <w:lang w:val="hr-HR" w:eastAsia="hr-HR"/>
        </w:rPr>
        <w:t>icu</w:t>
      </w:r>
      <w:r w:rsidRPr="00D341EB">
        <w:rPr>
          <w:rFonts w:ascii="Arial" w:hAnsi="Arial" w:cs="Arial"/>
          <w:sz w:val="20"/>
          <w:szCs w:val="20"/>
          <w:lang w:val="hr-HR" w:eastAsia="hr-HR"/>
        </w:rPr>
        <w:t xml:space="preserve"> (konto 16615) iznosi </w:t>
      </w:r>
      <w:r w:rsidR="00625FBA">
        <w:rPr>
          <w:rFonts w:ascii="Arial" w:hAnsi="Arial" w:cs="Arial"/>
          <w:sz w:val="20"/>
          <w:szCs w:val="20"/>
          <w:lang w:val="hr-HR" w:eastAsia="hr-HR"/>
        </w:rPr>
        <w:t>186,00 EUR</w:t>
      </w:r>
      <w:r w:rsidRPr="00D341EB">
        <w:rPr>
          <w:rFonts w:ascii="Arial" w:hAnsi="Arial" w:cs="Arial"/>
          <w:sz w:val="20"/>
          <w:szCs w:val="20"/>
          <w:lang w:val="hr-HR" w:eastAsia="hr-HR"/>
        </w:rPr>
        <w:t>.</w:t>
      </w:r>
    </w:p>
    <w:p w14:paraId="1DCE75E4" w14:textId="77777777" w:rsidR="00625FBA" w:rsidRPr="00D341EB" w:rsidRDefault="00625FBA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3EE8113D" w14:textId="17887418" w:rsidR="00D341EB" w:rsidRPr="00D341EB" w:rsidRDefault="00D341EB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  <w:r w:rsidRPr="00D341EB">
        <w:rPr>
          <w:rFonts w:ascii="Arial" w:hAnsi="Arial" w:cs="Arial"/>
          <w:sz w:val="20"/>
          <w:szCs w:val="20"/>
          <w:lang w:val="hr-HR" w:eastAsia="hr-HR"/>
        </w:rPr>
        <w:t xml:space="preserve">-Ispravak vrijednosti potraživanja (konto 19611) iznosi </w:t>
      </w:r>
      <w:r w:rsidR="00625FBA">
        <w:rPr>
          <w:rFonts w:ascii="Arial" w:hAnsi="Arial" w:cs="Arial"/>
          <w:sz w:val="20"/>
          <w:szCs w:val="20"/>
          <w:lang w:val="hr-HR" w:eastAsia="hr-HR"/>
        </w:rPr>
        <w:t>9.201,41 EUR</w:t>
      </w:r>
      <w:r w:rsidRPr="00D341EB">
        <w:rPr>
          <w:rFonts w:ascii="Arial" w:hAnsi="Arial" w:cs="Arial"/>
          <w:sz w:val="20"/>
          <w:szCs w:val="20"/>
          <w:lang w:val="hr-HR" w:eastAsia="hr-HR"/>
        </w:rPr>
        <w:t xml:space="preserve"> i rezultat je prijenosa u početno stanje 202</w:t>
      </w:r>
      <w:r w:rsidR="00625FBA">
        <w:rPr>
          <w:rFonts w:ascii="Arial" w:hAnsi="Arial" w:cs="Arial"/>
          <w:sz w:val="20"/>
          <w:szCs w:val="20"/>
          <w:lang w:val="hr-HR" w:eastAsia="hr-HR"/>
        </w:rPr>
        <w:t>3</w:t>
      </w:r>
      <w:r w:rsidRPr="00D341EB">
        <w:rPr>
          <w:rFonts w:ascii="Arial" w:hAnsi="Arial" w:cs="Arial"/>
          <w:sz w:val="20"/>
          <w:szCs w:val="20"/>
          <w:lang w:val="hr-HR" w:eastAsia="hr-HR"/>
        </w:rPr>
        <w:t>. godine.</w:t>
      </w:r>
    </w:p>
    <w:p w14:paraId="67EA1950" w14:textId="77777777" w:rsidR="00D341EB" w:rsidRPr="00D341EB" w:rsidRDefault="00D341EB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1ADA0F32" w14:textId="77777777" w:rsidR="00D341EB" w:rsidRPr="00D341EB" w:rsidRDefault="00D341EB" w:rsidP="00D341EB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  <w:r w:rsidRPr="00D341EB">
        <w:rPr>
          <w:rFonts w:ascii="Arial" w:hAnsi="Arial" w:cs="Arial"/>
          <w:b/>
          <w:sz w:val="20"/>
          <w:szCs w:val="20"/>
          <w:lang w:val="hr-HR" w:eastAsia="hr-HR"/>
        </w:rPr>
        <w:t>2.</w:t>
      </w:r>
      <w:r w:rsidRPr="00D341EB">
        <w:rPr>
          <w:rFonts w:ascii="Arial" w:hAnsi="Arial" w:cs="Arial"/>
          <w:b/>
          <w:sz w:val="20"/>
          <w:szCs w:val="20"/>
          <w:lang w:val="hr-HR" w:eastAsia="hr-HR"/>
        </w:rPr>
        <w:tab/>
        <w:t>Stanje nepodmirenih dospjelih obveza iznosi  0,00 kn.</w:t>
      </w:r>
    </w:p>
    <w:p w14:paraId="3A85B1AE" w14:textId="77777777" w:rsidR="00D341EB" w:rsidRPr="00D341EB" w:rsidRDefault="00D341EB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35FE22C0" w14:textId="77777777" w:rsidR="00D341EB" w:rsidRPr="00D341EB" w:rsidRDefault="00D341EB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7187DE9D" w14:textId="77777777" w:rsidR="00D341EB" w:rsidRPr="00D341EB" w:rsidRDefault="00D341EB" w:rsidP="00D341EB">
      <w:pPr>
        <w:pStyle w:val="Bezproreda"/>
        <w:rPr>
          <w:rFonts w:ascii="Arial" w:hAnsi="Arial" w:cs="Arial"/>
          <w:b/>
          <w:sz w:val="20"/>
          <w:szCs w:val="20"/>
          <w:lang w:val="hr-HR" w:eastAsia="hr-HR"/>
        </w:rPr>
      </w:pPr>
      <w:r>
        <w:rPr>
          <w:rFonts w:ascii="Arial" w:hAnsi="Arial" w:cs="Arial"/>
          <w:b/>
          <w:sz w:val="20"/>
          <w:szCs w:val="20"/>
          <w:lang w:val="hr-HR" w:eastAsia="hr-HR"/>
        </w:rPr>
        <w:t xml:space="preserve">3. </w:t>
      </w:r>
      <w:r w:rsidR="001A52E0">
        <w:rPr>
          <w:rFonts w:ascii="Arial" w:hAnsi="Arial" w:cs="Arial"/>
          <w:b/>
          <w:sz w:val="20"/>
          <w:szCs w:val="20"/>
          <w:lang w:val="hr-HR" w:eastAsia="hr-HR"/>
        </w:rPr>
        <w:t xml:space="preserve">        </w:t>
      </w:r>
      <w:r>
        <w:rPr>
          <w:rFonts w:ascii="Arial" w:hAnsi="Arial" w:cs="Arial"/>
          <w:b/>
          <w:sz w:val="20"/>
          <w:szCs w:val="20"/>
          <w:lang w:val="hr-HR" w:eastAsia="hr-HR"/>
        </w:rPr>
        <w:t xml:space="preserve"> </w:t>
      </w:r>
      <w:r w:rsidRPr="00D341EB">
        <w:rPr>
          <w:rFonts w:ascii="Arial" w:hAnsi="Arial" w:cs="Arial"/>
          <w:b/>
          <w:sz w:val="20"/>
          <w:szCs w:val="20"/>
          <w:lang w:val="hr-HR" w:eastAsia="hr-HR"/>
        </w:rPr>
        <w:t xml:space="preserve">Stanje potencijalnih obaveza po osnovi sudskog spora u tijeku iznosi 0,00 kn. </w:t>
      </w:r>
    </w:p>
    <w:p w14:paraId="04741617" w14:textId="77777777" w:rsidR="00D341EB" w:rsidRPr="00D341EB" w:rsidRDefault="00D341EB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748016F1" w14:textId="77777777" w:rsidR="00D341EB" w:rsidRPr="00D341EB" w:rsidRDefault="00D341EB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70FD0A4B" w14:textId="77777777" w:rsidR="00D341EB" w:rsidRPr="00D341EB" w:rsidRDefault="00D341EB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3680CB12" w14:textId="77777777" w:rsidR="00D341EB" w:rsidRPr="00D341EB" w:rsidRDefault="00D341EB" w:rsidP="00D341EB">
      <w:pPr>
        <w:pStyle w:val="Bezproreda"/>
        <w:rPr>
          <w:rFonts w:ascii="Arial" w:hAnsi="Arial" w:cs="Arial"/>
          <w:sz w:val="20"/>
          <w:szCs w:val="20"/>
          <w:lang w:val="hr-HR" w:eastAsia="hr-HR"/>
        </w:rPr>
      </w:pPr>
    </w:p>
    <w:p w14:paraId="05FB33B4" w14:textId="77777777" w:rsidR="00D341EB" w:rsidRPr="00D341EB" w:rsidRDefault="00D341EB" w:rsidP="00D341EB">
      <w:pPr>
        <w:pStyle w:val="Bezproreda"/>
        <w:jc w:val="right"/>
        <w:rPr>
          <w:rFonts w:ascii="Arial" w:hAnsi="Arial" w:cs="Arial"/>
          <w:sz w:val="20"/>
          <w:szCs w:val="20"/>
          <w:lang w:val="hr-HR" w:eastAsia="hr-HR"/>
        </w:rPr>
      </w:pPr>
      <w:r w:rsidRPr="00D341EB">
        <w:rPr>
          <w:rFonts w:ascii="Arial" w:hAnsi="Arial" w:cs="Arial"/>
          <w:sz w:val="20"/>
          <w:szCs w:val="20"/>
          <w:lang w:val="hr-HR" w:eastAsia="hr-HR"/>
        </w:rPr>
        <w:t xml:space="preserve">Ravnateljica: </w:t>
      </w:r>
    </w:p>
    <w:p w14:paraId="10FB42C8" w14:textId="77777777" w:rsidR="00D341EB" w:rsidRPr="0061318D" w:rsidRDefault="00D341EB" w:rsidP="00D341EB">
      <w:pPr>
        <w:pStyle w:val="Bezproreda"/>
        <w:jc w:val="right"/>
        <w:rPr>
          <w:rFonts w:ascii="Arial" w:hAnsi="Arial" w:cs="Arial"/>
          <w:sz w:val="20"/>
          <w:szCs w:val="20"/>
          <w:lang w:val="hr-HR" w:eastAsia="hr-HR"/>
        </w:rPr>
      </w:pPr>
      <w:r w:rsidRPr="00D341EB">
        <w:rPr>
          <w:rFonts w:ascii="Arial" w:hAnsi="Arial" w:cs="Arial"/>
          <w:sz w:val="20"/>
          <w:szCs w:val="20"/>
          <w:lang w:val="hr-HR" w:eastAsia="hr-HR"/>
        </w:rPr>
        <w:t>dr. sc. Jadranka Stojković</w:t>
      </w:r>
    </w:p>
    <w:p w14:paraId="123DA396" w14:textId="77777777" w:rsidR="000160DE" w:rsidRPr="00204AC0" w:rsidRDefault="000160DE" w:rsidP="00204AC0">
      <w:pPr>
        <w:pStyle w:val="Odlomakpopisa"/>
        <w:ind w:left="8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160DE" w:rsidRPr="00204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6051"/>
    <w:multiLevelType w:val="hybridMultilevel"/>
    <w:tmpl w:val="A190A788"/>
    <w:lvl w:ilvl="0" w:tplc="3460D3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57428"/>
    <w:multiLevelType w:val="hybridMultilevel"/>
    <w:tmpl w:val="F1F86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300D1"/>
    <w:multiLevelType w:val="hybridMultilevel"/>
    <w:tmpl w:val="6F3CCB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549845">
    <w:abstractNumId w:val="1"/>
  </w:num>
  <w:num w:numId="2" w16cid:durableId="72974084">
    <w:abstractNumId w:val="0"/>
  </w:num>
  <w:num w:numId="3" w16cid:durableId="1233616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09"/>
    <w:rsid w:val="000033FA"/>
    <w:rsid w:val="000160DE"/>
    <w:rsid w:val="00044317"/>
    <w:rsid w:val="00093743"/>
    <w:rsid w:val="000A21ED"/>
    <w:rsid w:val="000A63CC"/>
    <w:rsid w:val="000E3B65"/>
    <w:rsid w:val="00122700"/>
    <w:rsid w:val="00141453"/>
    <w:rsid w:val="0016170B"/>
    <w:rsid w:val="00177942"/>
    <w:rsid w:val="001A52E0"/>
    <w:rsid w:val="001C368F"/>
    <w:rsid w:val="001D0D71"/>
    <w:rsid w:val="00204AC0"/>
    <w:rsid w:val="002341E8"/>
    <w:rsid w:val="002351C1"/>
    <w:rsid w:val="00237BF9"/>
    <w:rsid w:val="002C135B"/>
    <w:rsid w:val="002D4D24"/>
    <w:rsid w:val="002E4F56"/>
    <w:rsid w:val="002E7777"/>
    <w:rsid w:val="002F1C1B"/>
    <w:rsid w:val="002F6CF8"/>
    <w:rsid w:val="00305471"/>
    <w:rsid w:val="003121D9"/>
    <w:rsid w:val="003443FE"/>
    <w:rsid w:val="00367DC9"/>
    <w:rsid w:val="00370B64"/>
    <w:rsid w:val="00373707"/>
    <w:rsid w:val="00373AFB"/>
    <w:rsid w:val="003D352F"/>
    <w:rsid w:val="003F0C21"/>
    <w:rsid w:val="004008BC"/>
    <w:rsid w:val="00452D2D"/>
    <w:rsid w:val="004562D5"/>
    <w:rsid w:val="00493910"/>
    <w:rsid w:val="004D129D"/>
    <w:rsid w:val="004E5BE7"/>
    <w:rsid w:val="004F195C"/>
    <w:rsid w:val="00502512"/>
    <w:rsid w:val="00504109"/>
    <w:rsid w:val="00512633"/>
    <w:rsid w:val="00523D0A"/>
    <w:rsid w:val="0052792E"/>
    <w:rsid w:val="00573F4B"/>
    <w:rsid w:val="005B2781"/>
    <w:rsid w:val="005B42D4"/>
    <w:rsid w:val="005D1343"/>
    <w:rsid w:val="0061318D"/>
    <w:rsid w:val="0061711E"/>
    <w:rsid w:val="00617E14"/>
    <w:rsid w:val="006229A5"/>
    <w:rsid w:val="00625FBA"/>
    <w:rsid w:val="00631D01"/>
    <w:rsid w:val="006336AA"/>
    <w:rsid w:val="006639DD"/>
    <w:rsid w:val="00677AD8"/>
    <w:rsid w:val="006846D3"/>
    <w:rsid w:val="00755A09"/>
    <w:rsid w:val="00766744"/>
    <w:rsid w:val="00797B06"/>
    <w:rsid w:val="007A36E6"/>
    <w:rsid w:val="0081462C"/>
    <w:rsid w:val="00821852"/>
    <w:rsid w:val="008274F0"/>
    <w:rsid w:val="00860339"/>
    <w:rsid w:val="008807E2"/>
    <w:rsid w:val="008A4885"/>
    <w:rsid w:val="008C5D54"/>
    <w:rsid w:val="008D6C84"/>
    <w:rsid w:val="008E5F86"/>
    <w:rsid w:val="00910010"/>
    <w:rsid w:val="00937B9D"/>
    <w:rsid w:val="0094421D"/>
    <w:rsid w:val="00997E89"/>
    <w:rsid w:val="009B118F"/>
    <w:rsid w:val="009D283F"/>
    <w:rsid w:val="009E734B"/>
    <w:rsid w:val="009F443E"/>
    <w:rsid w:val="00A14E0D"/>
    <w:rsid w:val="00A174AA"/>
    <w:rsid w:val="00A44236"/>
    <w:rsid w:val="00A579EB"/>
    <w:rsid w:val="00A61B07"/>
    <w:rsid w:val="00A717AA"/>
    <w:rsid w:val="00A72B9C"/>
    <w:rsid w:val="00A9683F"/>
    <w:rsid w:val="00AA02F6"/>
    <w:rsid w:val="00AA4671"/>
    <w:rsid w:val="00AA4864"/>
    <w:rsid w:val="00B33EF4"/>
    <w:rsid w:val="00B36278"/>
    <w:rsid w:val="00B512F4"/>
    <w:rsid w:val="00B70BD2"/>
    <w:rsid w:val="00BB5821"/>
    <w:rsid w:val="00BB69F8"/>
    <w:rsid w:val="00C4656A"/>
    <w:rsid w:val="00C51DE1"/>
    <w:rsid w:val="00C55C47"/>
    <w:rsid w:val="00C709E1"/>
    <w:rsid w:val="00C85D0E"/>
    <w:rsid w:val="00CB4F41"/>
    <w:rsid w:val="00CF1264"/>
    <w:rsid w:val="00CF2A07"/>
    <w:rsid w:val="00D32153"/>
    <w:rsid w:val="00D341EB"/>
    <w:rsid w:val="00D42D1E"/>
    <w:rsid w:val="00D7710B"/>
    <w:rsid w:val="00E12C58"/>
    <w:rsid w:val="00E44259"/>
    <w:rsid w:val="00E72B6C"/>
    <w:rsid w:val="00E73D71"/>
    <w:rsid w:val="00E8561B"/>
    <w:rsid w:val="00E86811"/>
    <w:rsid w:val="00EA08B8"/>
    <w:rsid w:val="00EC04DE"/>
    <w:rsid w:val="00EC7761"/>
    <w:rsid w:val="00ED14C8"/>
    <w:rsid w:val="00EF18D3"/>
    <w:rsid w:val="00F017DA"/>
    <w:rsid w:val="00F13C6C"/>
    <w:rsid w:val="00F3223F"/>
    <w:rsid w:val="00F32497"/>
    <w:rsid w:val="00F374AD"/>
    <w:rsid w:val="00F45B34"/>
    <w:rsid w:val="00F4704D"/>
    <w:rsid w:val="00F51B8A"/>
    <w:rsid w:val="00F55472"/>
    <w:rsid w:val="00F63E3B"/>
    <w:rsid w:val="00F73D8E"/>
    <w:rsid w:val="00F96ED0"/>
    <w:rsid w:val="00FA128D"/>
    <w:rsid w:val="00FA539A"/>
    <w:rsid w:val="00FA627B"/>
    <w:rsid w:val="00FB60FE"/>
    <w:rsid w:val="00FC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03E8"/>
  <w15:docId w15:val="{F0351115-CFB4-4D2C-8E03-9425ECB7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4AC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46D3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51B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Financije Lap</dc:creator>
  <cp:lastModifiedBy>Ured 2</cp:lastModifiedBy>
  <cp:revision>2</cp:revision>
  <dcterms:created xsi:type="dcterms:W3CDTF">2023-07-06T13:05:00Z</dcterms:created>
  <dcterms:modified xsi:type="dcterms:W3CDTF">2023-07-06T13:05:00Z</dcterms:modified>
</cp:coreProperties>
</file>